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38061703" w14:textId="77777777" w:rsidR="00E63259" w:rsidRDefault="00E63259" w:rsidP="0005623F">
      <w:pPr>
        <w:pStyle w:val="Title1"/>
        <w:rPr>
          <w:rFonts w:eastAsia="Arial"/>
        </w:rPr>
      </w:pPr>
    </w:p>
    <w:p w14:paraId="52BBBA8F" w14:textId="54B36888" w:rsidR="00A0258B" w:rsidRPr="0096755E" w:rsidRDefault="008B090B" w:rsidP="00BB6896">
      <w:pPr>
        <w:pStyle w:val="Title1"/>
        <w:rPr>
          <w:rFonts w:eastAsia="Arial"/>
        </w:rPr>
      </w:pPr>
      <w:r w:rsidRPr="008B090B">
        <w:rPr>
          <w:rFonts w:eastAsia="Arial"/>
        </w:rPr>
        <w:t>Economic &amp; Financial Standing</w:t>
      </w:r>
      <w:bookmarkEnd w:id="1"/>
    </w:p>
    <w:p w14:paraId="06F0DE83"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331E361" w:rsidR="00832D12" w:rsidRPr="00BB6896" w:rsidRDefault="00EE68D4" w:rsidP="00BB6896">
      <w:pPr>
        <w:pStyle w:val="Title1"/>
        <w:rPr>
          <w:rFonts w:eastAsia="Arial"/>
        </w:rPr>
      </w:pPr>
      <w:r w:rsidRPr="00EE68D4">
        <w:rPr>
          <w:rFonts w:eastAsia="Arial"/>
        </w:rPr>
        <w:t>C23206</w:t>
      </w:r>
    </w:p>
    <w:p w14:paraId="270BAB32" w14:textId="2EE61FC9" w:rsidR="00D965AD" w:rsidRPr="000B7113" w:rsidRDefault="000B7113" w:rsidP="00CD5021">
      <w:pPr>
        <w:pStyle w:val="Title1"/>
        <w:rPr>
          <w:rFonts w:eastAsia="Arial"/>
          <w:sz w:val="52"/>
          <w:szCs w:val="18"/>
        </w:rPr>
      </w:pPr>
      <w:r w:rsidRPr="000B7113">
        <w:rPr>
          <w:rFonts w:eastAsia="Arial"/>
          <w:sz w:val="52"/>
          <w:szCs w:val="18"/>
        </w:rPr>
        <w:t>GDF-NWS-SCDP-AXX-CC-CS-000031</w:t>
      </w:r>
    </w:p>
    <w:p w14:paraId="277B58B9" w14:textId="77777777" w:rsidR="00D965AD" w:rsidRDefault="00D965AD" w:rsidP="00BB6896">
      <w:pPr>
        <w:pStyle w:val="Title1"/>
      </w:pPr>
    </w:p>
    <w:p w14:paraId="212D40F2" w14:textId="4CBC6445" w:rsidR="000B7113" w:rsidRPr="0096755E" w:rsidRDefault="000B7113" w:rsidP="00BB6896">
      <w:pPr>
        <w:pStyle w:val="Title1"/>
        <w:sectPr w:rsidR="000B7113"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72"/>
        <w:gridCol w:w="2383"/>
        <w:gridCol w:w="2443"/>
        <w:gridCol w:w="2363"/>
      </w:tblGrid>
      <w:tr w:rsidR="007A06CD" w:rsidRPr="00BE5982" w14:paraId="00174D51" w14:textId="77777777" w:rsidTr="669380FC">
        <w:trPr>
          <w:cnfStyle w:val="100000000000" w:firstRow="1" w:lastRow="0" w:firstColumn="0" w:lastColumn="0" w:oddVBand="0" w:evenVBand="0" w:oddHBand="0" w:evenHBand="0" w:firstRowFirstColumn="0" w:firstRowLastColumn="0" w:lastRowFirstColumn="0" w:lastRowLastColumn="0"/>
        </w:trPr>
        <w:tc>
          <w:tcPr>
            <w:tcW w:w="2446" w:type="dxa"/>
          </w:tcPr>
          <w:p w14:paraId="7CDEE3C8" w14:textId="428E03E0" w:rsidR="007A06CD" w:rsidRPr="00BE5982" w:rsidRDefault="007A06CD" w:rsidP="00407BD2">
            <w:pPr>
              <w:spacing w:before="0"/>
            </w:pPr>
            <w:r w:rsidRPr="00BE5982">
              <w:t xml:space="preserve">Name </w:t>
            </w:r>
          </w:p>
        </w:tc>
        <w:tc>
          <w:tcPr>
            <w:tcW w:w="2447" w:type="dxa"/>
          </w:tcPr>
          <w:p w14:paraId="0DD56AD7" w14:textId="1536D416" w:rsidR="007A06CD" w:rsidRPr="00BE5982" w:rsidRDefault="003B4BA0" w:rsidP="00407BD2">
            <w:pPr>
              <w:spacing w:before="0"/>
            </w:pPr>
            <w:r>
              <w:t>Role</w:t>
            </w:r>
          </w:p>
        </w:tc>
        <w:tc>
          <w:tcPr>
            <w:tcW w:w="2447" w:type="dxa"/>
          </w:tcPr>
          <w:p w14:paraId="4F708542" w14:textId="2B2B81E9" w:rsidR="007A06CD" w:rsidRPr="00BE5982" w:rsidRDefault="003B4BA0" w:rsidP="00407BD2">
            <w:pPr>
              <w:spacing w:before="0"/>
            </w:pPr>
            <w:r>
              <w:t>Signature</w:t>
            </w:r>
          </w:p>
        </w:tc>
        <w:tc>
          <w:tcPr>
            <w:tcW w:w="2447" w:type="dxa"/>
          </w:tcPr>
          <w:p w14:paraId="2AB515EF" w14:textId="77777777" w:rsidR="007A06CD" w:rsidRPr="00BE5982" w:rsidRDefault="007A06CD" w:rsidP="00407BD2">
            <w:pPr>
              <w:spacing w:before="0"/>
            </w:pPr>
            <w:r w:rsidRPr="00BE5982">
              <w:t>Date</w:t>
            </w:r>
          </w:p>
        </w:tc>
      </w:tr>
      <w:tr w:rsidR="007A06CD" w:rsidRPr="00BE5982" w14:paraId="6073C3EF" w14:textId="77777777" w:rsidTr="669380FC">
        <w:tc>
          <w:tcPr>
            <w:tcW w:w="2446" w:type="dxa"/>
            <w:vAlign w:val="center"/>
          </w:tcPr>
          <w:p w14:paraId="283DF279" w14:textId="6DFEF72E" w:rsidR="009C4E1D" w:rsidRDefault="009C4E1D" w:rsidP="004C6904">
            <w:pPr>
              <w:pStyle w:val="TableText1"/>
            </w:pPr>
            <w:r w:rsidRPr="00075756">
              <w:t>Originator</w:t>
            </w:r>
            <w:r>
              <w:t>:</w:t>
            </w:r>
          </w:p>
          <w:p w14:paraId="18FDC796" w14:textId="1DE9AA7B" w:rsidR="00CA53DD" w:rsidRPr="00075756" w:rsidRDefault="00684725" w:rsidP="004C6904">
            <w:pPr>
              <w:pStyle w:val="TableText1"/>
            </w:pPr>
            <w:r>
              <w:t>Tony Potts</w:t>
            </w:r>
          </w:p>
        </w:tc>
        <w:tc>
          <w:tcPr>
            <w:tcW w:w="2447" w:type="dxa"/>
            <w:vAlign w:val="center"/>
          </w:tcPr>
          <w:p w14:paraId="5ADE90F2" w14:textId="0CE47EE5" w:rsidR="00AB728D" w:rsidRPr="00075756" w:rsidRDefault="00D46849" w:rsidP="004C6904">
            <w:pPr>
              <w:pStyle w:val="TableText1"/>
            </w:pPr>
            <w:r w:rsidRPr="00D46849">
              <w:t>Senior Business Partner</w:t>
            </w:r>
          </w:p>
        </w:tc>
        <w:tc>
          <w:tcPr>
            <w:tcW w:w="2447" w:type="dxa"/>
            <w:vAlign w:val="center"/>
          </w:tcPr>
          <w:p w14:paraId="276B780A" w14:textId="2C3CA555" w:rsidR="007A06CD" w:rsidRPr="00075756" w:rsidRDefault="538F1E5D" w:rsidP="669380FC">
            <w:r>
              <w:rPr>
                <w:noProof/>
              </w:rPr>
              <w:drawing>
                <wp:inline distT="0" distB="0" distL="0" distR="0" wp14:anchorId="241448BC" wp14:editId="37989C40">
                  <wp:extent cx="1371600" cy="381000"/>
                  <wp:effectExtent l="0" t="0" r="0" b="0"/>
                  <wp:docPr id="1999848070" name="Picture 199984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71600" cy="381000"/>
                          </a:xfrm>
                          <a:prstGeom prst="rect">
                            <a:avLst/>
                          </a:prstGeom>
                        </pic:spPr>
                      </pic:pic>
                    </a:graphicData>
                  </a:graphic>
                </wp:inline>
              </w:drawing>
            </w:r>
          </w:p>
        </w:tc>
        <w:tc>
          <w:tcPr>
            <w:tcW w:w="2447" w:type="dxa"/>
            <w:vAlign w:val="center"/>
          </w:tcPr>
          <w:p w14:paraId="60E8DD04" w14:textId="2EC7AB58" w:rsidR="007A06CD" w:rsidRPr="00075756" w:rsidRDefault="538F1E5D" w:rsidP="004C6904">
            <w:pPr>
              <w:pStyle w:val="TableText1"/>
            </w:pPr>
            <w:r>
              <w:t>09/06/25</w:t>
            </w:r>
          </w:p>
        </w:tc>
      </w:tr>
      <w:tr w:rsidR="007A06CD" w:rsidRPr="00BE5982" w14:paraId="058102E6" w14:textId="77777777" w:rsidTr="669380FC">
        <w:tc>
          <w:tcPr>
            <w:tcW w:w="2446" w:type="dxa"/>
            <w:vAlign w:val="center"/>
          </w:tcPr>
          <w:p w14:paraId="41E9088C" w14:textId="6892F1A3" w:rsidR="00190628" w:rsidRDefault="00190628" w:rsidP="004C6904">
            <w:pPr>
              <w:pStyle w:val="TableText1"/>
            </w:pPr>
            <w:r w:rsidRPr="00075756">
              <w:t>Reviewer</w:t>
            </w:r>
            <w:r>
              <w:t>:</w:t>
            </w:r>
          </w:p>
          <w:p w14:paraId="54308DBA" w14:textId="1079CE4B" w:rsidR="00CA53DD" w:rsidRPr="00075756" w:rsidRDefault="00990EFC" w:rsidP="004C6904">
            <w:pPr>
              <w:pStyle w:val="TableText1"/>
            </w:pPr>
            <w:r w:rsidRPr="00990EFC">
              <w:t>Andrew Batstone</w:t>
            </w:r>
          </w:p>
        </w:tc>
        <w:tc>
          <w:tcPr>
            <w:tcW w:w="2447" w:type="dxa"/>
            <w:vAlign w:val="center"/>
          </w:tcPr>
          <w:p w14:paraId="65B9F39B" w14:textId="23AE0071" w:rsidR="00AB728D" w:rsidRPr="00075756" w:rsidRDefault="00FC73C4" w:rsidP="004C6904">
            <w:pPr>
              <w:pStyle w:val="TableText1"/>
            </w:pPr>
            <w:r w:rsidRPr="00FC73C4">
              <w:t>Commercial Strategy Lead</w:t>
            </w:r>
          </w:p>
        </w:tc>
        <w:tc>
          <w:tcPr>
            <w:tcW w:w="2447" w:type="dxa"/>
            <w:vAlign w:val="center"/>
          </w:tcPr>
          <w:p w14:paraId="29C375C0" w14:textId="069739D2" w:rsidR="007A06CD" w:rsidRPr="00075756" w:rsidRDefault="003A0297" w:rsidP="004C6904">
            <w:pPr>
              <w:pStyle w:val="TableText1"/>
            </w:pPr>
            <w:r>
              <w:rPr>
                <w:noProof/>
              </w:rPr>
              <w:drawing>
                <wp:inline distT="0" distB="0" distL="0" distR="0" wp14:anchorId="7291EB67" wp14:editId="59327E19">
                  <wp:extent cx="850900" cy="718191"/>
                  <wp:effectExtent l="0" t="0" r="6350" b="5715"/>
                  <wp:docPr id="199574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42830" name="Picture 19957428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7599" cy="723845"/>
                          </a:xfrm>
                          <a:prstGeom prst="rect">
                            <a:avLst/>
                          </a:prstGeom>
                        </pic:spPr>
                      </pic:pic>
                    </a:graphicData>
                  </a:graphic>
                </wp:inline>
              </w:drawing>
            </w:r>
          </w:p>
        </w:tc>
        <w:tc>
          <w:tcPr>
            <w:tcW w:w="2447" w:type="dxa"/>
            <w:vAlign w:val="center"/>
          </w:tcPr>
          <w:p w14:paraId="4A890491" w14:textId="31D60F0C" w:rsidR="007A06CD" w:rsidRPr="00075756" w:rsidRDefault="008969E8" w:rsidP="004C6904">
            <w:pPr>
              <w:pStyle w:val="TableText1"/>
            </w:pPr>
            <w:r>
              <w:t>08/07/25</w:t>
            </w:r>
          </w:p>
        </w:tc>
      </w:tr>
      <w:tr w:rsidR="007A06CD" w:rsidRPr="00BE5982" w14:paraId="4FD42D39" w14:textId="77777777" w:rsidTr="669380FC">
        <w:tc>
          <w:tcPr>
            <w:tcW w:w="2446" w:type="dxa"/>
            <w:vAlign w:val="center"/>
          </w:tcPr>
          <w:p w14:paraId="1D1C58CA" w14:textId="77777777" w:rsidR="007A06CD" w:rsidRDefault="00190628" w:rsidP="004C6904">
            <w:pPr>
              <w:pStyle w:val="TableText1"/>
            </w:pPr>
            <w:r w:rsidRPr="00190628">
              <w:t>Approv</w:t>
            </w:r>
            <w:r>
              <w:t>er:</w:t>
            </w:r>
          </w:p>
          <w:p w14:paraId="4158EB53" w14:textId="121E448C" w:rsidR="00225868" w:rsidRPr="00075756" w:rsidRDefault="00225868" w:rsidP="004C6904">
            <w:pPr>
              <w:pStyle w:val="TableText1"/>
            </w:pPr>
            <w:r>
              <w:t>TBD</w:t>
            </w:r>
          </w:p>
        </w:tc>
        <w:tc>
          <w:tcPr>
            <w:tcW w:w="2447" w:type="dxa"/>
            <w:vAlign w:val="center"/>
          </w:tcPr>
          <w:p w14:paraId="0B48AAB8" w14:textId="7EC932B0" w:rsidR="007A06CD" w:rsidRPr="00075756" w:rsidRDefault="00453B23" w:rsidP="004C6904">
            <w:pPr>
              <w:pStyle w:val="TableText1"/>
            </w:pPr>
            <w:r>
              <w:t>GDF Programme Manager - Enabling</w:t>
            </w:r>
          </w:p>
        </w:tc>
        <w:tc>
          <w:tcPr>
            <w:tcW w:w="2447" w:type="dxa"/>
            <w:vAlign w:val="center"/>
          </w:tcPr>
          <w:p w14:paraId="7DCA06F8" w14:textId="772696A6" w:rsidR="007A06CD" w:rsidRPr="00075756" w:rsidRDefault="007A06CD" w:rsidP="004C6904">
            <w:pPr>
              <w:pStyle w:val="TableText1"/>
            </w:pPr>
          </w:p>
        </w:tc>
        <w:tc>
          <w:tcPr>
            <w:tcW w:w="2447" w:type="dxa"/>
            <w:vAlign w:val="center"/>
          </w:tcPr>
          <w:p w14:paraId="4A7A45CA" w14:textId="7791FFBE" w:rsidR="007A06CD" w:rsidRPr="00075756" w:rsidRDefault="007A06CD" w:rsidP="004C6904">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056020AB" w:rsidR="00185878" w:rsidRPr="00775C9A" w:rsidRDefault="00775C9A" w:rsidP="00775C9A">
      <w:pPr>
        <w:spacing w:before="0"/>
        <w:rPr>
          <w:i/>
          <w:iCs/>
        </w:rPr>
      </w:pPr>
      <w:r w:rsidRPr="00775C9A">
        <w:rPr>
          <w:i/>
          <w:iCs/>
        </w:rPr>
        <w:t>Note: Within this document, the term “Con</w:t>
      </w:r>
      <w:r w:rsidR="00606FE4">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6F00423F" w14:textId="77ED62DB" w:rsidR="00245A11"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199854520" w:history="1">
            <w:r w:rsidR="00245A11" w:rsidRPr="002B0ECD">
              <w:rPr>
                <w:rStyle w:val="Hyperlink"/>
                <w:iCs/>
                <w:noProof/>
              </w:rPr>
              <w:t>1</w:t>
            </w:r>
            <w:r w:rsidR="00245A11">
              <w:rPr>
                <w:rFonts w:asciiTheme="minorHAnsi" w:eastAsiaTheme="minorEastAsia" w:hAnsiTheme="minorHAnsi" w:cstheme="minorBidi"/>
                <w:noProof/>
                <w:kern w:val="2"/>
                <w:sz w:val="24"/>
                <w:lang w:eastAsia="en-GB"/>
                <w14:ligatures w14:val="standardContextual"/>
              </w:rPr>
              <w:tab/>
            </w:r>
            <w:r w:rsidR="00245A11" w:rsidRPr="002B0ECD">
              <w:rPr>
                <w:rStyle w:val="Hyperlink"/>
                <w:noProof/>
              </w:rPr>
              <w:t>Purpose</w:t>
            </w:r>
            <w:r w:rsidR="00245A11">
              <w:rPr>
                <w:noProof/>
                <w:webHidden/>
              </w:rPr>
              <w:tab/>
            </w:r>
            <w:r w:rsidR="00245A11">
              <w:rPr>
                <w:noProof/>
                <w:webHidden/>
              </w:rPr>
              <w:fldChar w:fldCharType="begin"/>
            </w:r>
            <w:r w:rsidR="00245A11">
              <w:rPr>
                <w:noProof/>
                <w:webHidden/>
              </w:rPr>
              <w:instrText xml:space="preserve"> PAGEREF _Toc199854520 \h </w:instrText>
            </w:r>
            <w:r w:rsidR="00245A11">
              <w:rPr>
                <w:noProof/>
                <w:webHidden/>
              </w:rPr>
            </w:r>
            <w:r w:rsidR="00245A11">
              <w:rPr>
                <w:noProof/>
                <w:webHidden/>
              </w:rPr>
              <w:fldChar w:fldCharType="separate"/>
            </w:r>
            <w:r w:rsidR="000C3C26">
              <w:rPr>
                <w:noProof/>
                <w:webHidden/>
              </w:rPr>
              <w:t>6</w:t>
            </w:r>
            <w:r w:rsidR="00245A11">
              <w:rPr>
                <w:noProof/>
                <w:webHidden/>
              </w:rPr>
              <w:fldChar w:fldCharType="end"/>
            </w:r>
          </w:hyperlink>
        </w:p>
        <w:p w14:paraId="77FA6E88" w14:textId="507CCA6B" w:rsidR="00245A11" w:rsidRDefault="00245A11">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9854521" w:history="1">
            <w:r w:rsidRPr="002B0ECD">
              <w:rPr>
                <w:rStyle w:val="Hyperlink"/>
                <w:iCs/>
                <w:noProof/>
              </w:rPr>
              <w:t>2</w:t>
            </w:r>
            <w:r>
              <w:rPr>
                <w:rFonts w:asciiTheme="minorHAnsi" w:eastAsiaTheme="minorEastAsia" w:hAnsiTheme="minorHAnsi" w:cstheme="minorBidi"/>
                <w:noProof/>
                <w:kern w:val="2"/>
                <w:sz w:val="24"/>
                <w:lang w:eastAsia="en-GB"/>
                <w14:ligatures w14:val="standardContextual"/>
              </w:rPr>
              <w:tab/>
            </w:r>
            <w:r w:rsidRPr="002B0ECD">
              <w:rPr>
                <w:rStyle w:val="Hyperlink"/>
                <w:noProof/>
              </w:rPr>
              <w:t>EFS Assessment - Structure</w:t>
            </w:r>
            <w:r>
              <w:rPr>
                <w:noProof/>
                <w:webHidden/>
              </w:rPr>
              <w:tab/>
            </w:r>
            <w:r>
              <w:rPr>
                <w:noProof/>
                <w:webHidden/>
              </w:rPr>
              <w:fldChar w:fldCharType="begin"/>
            </w:r>
            <w:r>
              <w:rPr>
                <w:noProof/>
                <w:webHidden/>
              </w:rPr>
              <w:instrText xml:space="preserve"> PAGEREF _Toc199854521 \h </w:instrText>
            </w:r>
            <w:r>
              <w:rPr>
                <w:noProof/>
                <w:webHidden/>
              </w:rPr>
            </w:r>
            <w:r>
              <w:rPr>
                <w:noProof/>
                <w:webHidden/>
              </w:rPr>
              <w:fldChar w:fldCharType="separate"/>
            </w:r>
            <w:r w:rsidR="000C3C26">
              <w:rPr>
                <w:noProof/>
                <w:webHidden/>
              </w:rPr>
              <w:t>6</w:t>
            </w:r>
            <w:r>
              <w:rPr>
                <w:noProof/>
                <w:webHidden/>
              </w:rPr>
              <w:fldChar w:fldCharType="end"/>
            </w:r>
          </w:hyperlink>
        </w:p>
        <w:p w14:paraId="5D6F5D27" w14:textId="45D07CFD" w:rsidR="00245A11" w:rsidRDefault="00245A11">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9854522" w:history="1">
            <w:r w:rsidRPr="002B0ECD">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eastAsia="en-GB"/>
                <w14:ligatures w14:val="standardContextual"/>
              </w:rPr>
              <w:tab/>
            </w:r>
            <w:r w:rsidRPr="002B0ECD">
              <w:rPr>
                <w:rStyle w:val="Hyperlink"/>
                <w:noProof/>
              </w:rPr>
              <w:t>EFS Tests and Thresholds</w:t>
            </w:r>
            <w:r>
              <w:rPr>
                <w:noProof/>
                <w:webHidden/>
              </w:rPr>
              <w:tab/>
            </w:r>
            <w:r>
              <w:rPr>
                <w:noProof/>
                <w:webHidden/>
              </w:rPr>
              <w:fldChar w:fldCharType="begin"/>
            </w:r>
            <w:r>
              <w:rPr>
                <w:noProof/>
                <w:webHidden/>
              </w:rPr>
              <w:instrText xml:space="preserve"> PAGEREF _Toc199854522 \h </w:instrText>
            </w:r>
            <w:r>
              <w:rPr>
                <w:noProof/>
                <w:webHidden/>
              </w:rPr>
            </w:r>
            <w:r>
              <w:rPr>
                <w:noProof/>
                <w:webHidden/>
              </w:rPr>
              <w:fldChar w:fldCharType="separate"/>
            </w:r>
            <w:r w:rsidR="000C3C26">
              <w:rPr>
                <w:noProof/>
                <w:webHidden/>
              </w:rPr>
              <w:t>6</w:t>
            </w:r>
            <w:r>
              <w:rPr>
                <w:noProof/>
                <w:webHidden/>
              </w:rPr>
              <w:fldChar w:fldCharType="end"/>
            </w:r>
          </w:hyperlink>
        </w:p>
        <w:p w14:paraId="145583DA" w14:textId="475F1830" w:rsidR="00245A11" w:rsidRDefault="00245A11">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9854523" w:history="1">
            <w:r w:rsidRPr="002B0ECD">
              <w:rPr>
                <w:rStyle w:val="Hyperlink"/>
                <w:iCs/>
                <w:noProof/>
              </w:rPr>
              <w:t>3</w:t>
            </w:r>
            <w:r>
              <w:rPr>
                <w:rFonts w:asciiTheme="minorHAnsi" w:eastAsiaTheme="minorEastAsia" w:hAnsiTheme="minorHAnsi" w:cstheme="minorBidi"/>
                <w:noProof/>
                <w:kern w:val="2"/>
                <w:sz w:val="24"/>
                <w:lang w:eastAsia="en-GB"/>
                <w14:ligatures w14:val="standardContextual"/>
              </w:rPr>
              <w:tab/>
            </w:r>
            <w:r w:rsidRPr="002B0ECD">
              <w:rPr>
                <w:rStyle w:val="Hyperlink"/>
                <w:noProof/>
              </w:rPr>
              <w:t>Approach to JVs</w:t>
            </w:r>
            <w:r>
              <w:rPr>
                <w:noProof/>
                <w:webHidden/>
              </w:rPr>
              <w:tab/>
            </w:r>
            <w:r>
              <w:rPr>
                <w:noProof/>
                <w:webHidden/>
              </w:rPr>
              <w:fldChar w:fldCharType="begin"/>
            </w:r>
            <w:r>
              <w:rPr>
                <w:noProof/>
                <w:webHidden/>
              </w:rPr>
              <w:instrText xml:space="preserve"> PAGEREF _Toc199854523 \h </w:instrText>
            </w:r>
            <w:r>
              <w:rPr>
                <w:noProof/>
                <w:webHidden/>
              </w:rPr>
            </w:r>
            <w:r>
              <w:rPr>
                <w:noProof/>
                <w:webHidden/>
              </w:rPr>
              <w:fldChar w:fldCharType="separate"/>
            </w:r>
            <w:r w:rsidR="000C3C26">
              <w:rPr>
                <w:noProof/>
                <w:webHidden/>
              </w:rPr>
              <w:t>7</w:t>
            </w:r>
            <w:r>
              <w:rPr>
                <w:noProof/>
                <w:webHidden/>
              </w:rPr>
              <w:fldChar w:fldCharType="end"/>
            </w:r>
          </w:hyperlink>
        </w:p>
        <w:p w14:paraId="2FAFFE24" w14:textId="107A76F2" w:rsidR="00245A11" w:rsidRDefault="00245A11">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9854524" w:history="1">
            <w:r w:rsidRPr="002B0ECD">
              <w:rPr>
                <w:rStyle w:val="Hyperlink"/>
                <w:iCs/>
                <w:noProof/>
              </w:rPr>
              <w:t>4</w:t>
            </w:r>
            <w:r>
              <w:rPr>
                <w:rFonts w:asciiTheme="minorHAnsi" w:eastAsiaTheme="minorEastAsia" w:hAnsiTheme="minorHAnsi" w:cstheme="minorBidi"/>
                <w:noProof/>
                <w:kern w:val="2"/>
                <w:sz w:val="24"/>
                <w:lang w:eastAsia="en-GB"/>
                <w14:ligatures w14:val="standardContextual"/>
              </w:rPr>
              <w:tab/>
            </w:r>
            <w:r w:rsidRPr="002B0ECD">
              <w:rPr>
                <w:rStyle w:val="Hyperlink"/>
                <w:noProof/>
              </w:rPr>
              <w:t>Reliance on a Nominated Entity</w:t>
            </w:r>
            <w:r>
              <w:rPr>
                <w:noProof/>
                <w:webHidden/>
              </w:rPr>
              <w:tab/>
            </w:r>
            <w:r>
              <w:rPr>
                <w:noProof/>
                <w:webHidden/>
              </w:rPr>
              <w:fldChar w:fldCharType="begin"/>
            </w:r>
            <w:r>
              <w:rPr>
                <w:noProof/>
                <w:webHidden/>
              </w:rPr>
              <w:instrText xml:space="preserve"> PAGEREF _Toc199854524 \h </w:instrText>
            </w:r>
            <w:r>
              <w:rPr>
                <w:noProof/>
                <w:webHidden/>
              </w:rPr>
            </w:r>
            <w:r>
              <w:rPr>
                <w:noProof/>
                <w:webHidden/>
              </w:rPr>
              <w:fldChar w:fldCharType="separate"/>
            </w:r>
            <w:r w:rsidR="000C3C26">
              <w:rPr>
                <w:noProof/>
                <w:webHidden/>
              </w:rPr>
              <w:t>7</w:t>
            </w:r>
            <w:r>
              <w:rPr>
                <w:noProof/>
                <w:webHidden/>
              </w:rPr>
              <w:fldChar w:fldCharType="end"/>
            </w:r>
          </w:hyperlink>
        </w:p>
        <w:p w14:paraId="0DB56A8C" w14:textId="220B2391" w:rsidR="00245A11" w:rsidRDefault="00245A11">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9854525" w:history="1">
            <w:r w:rsidRPr="002B0ECD">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lang w:eastAsia="en-GB"/>
                <w14:ligatures w14:val="standardContextual"/>
              </w:rPr>
              <w:tab/>
            </w:r>
            <w:r w:rsidRPr="002B0ECD">
              <w:rPr>
                <w:rStyle w:val="Hyperlink"/>
                <w:noProof/>
              </w:rPr>
              <w:t>Reassessment</w:t>
            </w:r>
            <w:r>
              <w:rPr>
                <w:noProof/>
                <w:webHidden/>
              </w:rPr>
              <w:tab/>
            </w:r>
            <w:r>
              <w:rPr>
                <w:noProof/>
                <w:webHidden/>
              </w:rPr>
              <w:fldChar w:fldCharType="begin"/>
            </w:r>
            <w:r>
              <w:rPr>
                <w:noProof/>
                <w:webHidden/>
              </w:rPr>
              <w:instrText xml:space="preserve"> PAGEREF _Toc199854525 \h </w:instrText>
            </w:r>
            <w:r>
              <w:rPr>
                <w:noProof/>
                <w:webHidden/>
              </w:rPr>
            </w:r>
            <w:r>
              <w:rPr>
                <w:noProof/>
                <w:webHidden/>
              </w:rPr>
              <w:fldChar w:fldCharType="separate"/>
            </w:r>
            <w:r w:rsidR="000C3C26">
              <w:rPr>
                <w:noProof/>
                <w:webHidden/>
              </w:rPr>
              <w:t>8</w:t>
            </w:r>
            <w:r>
              <w:rPr>
                <w:noProof/>
                <w:webHidden/>
              </w:rPr>
              <w:fldChar w:fldCharType="end"/>
            </w:r>
          </w:hyperlink>
        </w:p>
        <w:p w14:paraId="03C52A92" w14:textId="23E2B651" w:rsidR="00245A11" w:rsidRDefault="00245A11">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9854526" w:history="1">
            <w:r w:rsidRPr="002B0ECD">
              <w:rPr>
                <w:rStyle w:val="Hyperlink"/>
                <w:iCs/>
                <w:noProof/>
              </w:rPr>
              <w:t>5</w:t>
            </w:r>
            <w:r>
              <w:rPr>
                <w:rFonts w:asciiTheme="minorHAnsi" w:eastAsiaTheme="minorEastAsia" w:hAnsiTheme="minorHAnsi" w:cstheme="minorBidi"/>
                <w:noProof/>
                <w:kern w:val="2"/>
                <w:sz w:val="24"/>
                <w:lang w:eastAsia="en-GB"/>
                <w14:ligatures w14:val="standardContextual"/>
              </w:rPr>
              <w:tab/>
            </w:r>
            <w:r w:rsidRPr="002B0ECD">
              <w:rPr>
                <w:rStyle w:val="Hyperlink"/>
                <w:noProof/>
              </w:rPr>
              <w:t>International Bidders</w:t>
            </w:r>
            <w:r>
              <w:rPr>
                <w:noProof/>
                <w:webHidden/>
              </w:rPr>
              <w:tab/>
            </w:r>
            <w:r>
              <w:rPr>
                <w:noProof/>
                <w:webHidden/>
              </w:rPr>
              <w:fldChar w:fldCharType="begin"/>
            </w:r>
            <w:r>
              <w:rPr>
                <w:noProof/>
                <w:webHidden/>
              </w:rPr>
              <w:instrText xml:space="preserve"> PAGEREF _Toc199854526 \h </w:instrText>
            </w:r>
            <w:r>
              <w:rPr>
                <w:noProof/>
                <w:webHidden/>
              </w:rPr>
            </w:r>
            <w:r>
              <w:rPr>
                <w:noProof/>
                <w:webHidden/>
              </w:rPr>
              <w:fldChar w:fldCharType="separate"/>
            </w:r>
            <w:r w:rsidR="000C3C26">
              <w:rPr>
                <w:noProof/>
                <w:webHidden/>
              </w:rPr>
              <w:t>8</w:t>
            </w:r>
            <w:r>
              <w:rPr>
                <w:noProof/>
                <w:webHidden/>
              </w:rPr>
              <w:fldChar w:fldCharType="end"/>
            </w:r>
          </w:hyperlink>
        </w:p>
        <w:p w14:paraId="4626B6AB" w14:textId="3DFECEDF" w:rsidR="00F02DD6" w:rsidRDefault="00F02DD6">
          <w:r>
            <w:rPr>
              <w:b/>
              <w:bCs/>
              <w:noProof/>
            </w:rPr>
            <w:fldChar w:fldCharType="end"/>
          </w:r>
        </w:p>
      </w:sdtContent>
    </w:sdt>
    <w:p w14:paraId="4D36B34B" w14:textId="40E40A32" w:rsidR="000B6A1A" w:rsidRDefault="00836D85" w:rsidP="007C5C22">
      <w:pPr>
        <w:spacing w:before="0"/>
        <w:rPr>
          <w:b/>
          <w:bCs/>
          <w:sz w:val="32"/>
          <w:szCs w:val="32"/>
        </w:rPr>
      </w:pPr>
      <w:r>
        <w:rPr>
          <w:b/>
          <w:bCs/>
          <w:sz w:val="32"/>
          <w:szCs w:val="32"/>
        </w:rPr>
        <w:t>Tables</w:t>
      </w:r>
    </w:p>
    <w:p w14:paraId="11A91D5D" w14:textId="08E817E2" w:rsidR="00A056EE" w:rsidRDefault="00836D85">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r>
        <w:rPr>
          <w:b/>
          <w:bCs/>
          <w:sz w:val="32"/>
          <w:szCs w:val="32"/>
        </w:rPr>
        <w:fldChar w:fldCharType="begin"/>
      </w:r>
      <w:r>
        <w:rPr>
          <w:b/>
          <w:bCs/>
          <w:sz w:val="32"/>
          <w:szCs w:val="32"/>
        </w:rPr>
        <w:instrText xml:space="preserve"> TOC \h \z \c "Table" </w:instrText>
      </w:r>
      <w:r>
        <w:rPr>
          <w:b/>
          <w:bCs/>
          <w:sz w:val="32"/>
          <w:szCs w:val="32"/>
        </w:rPr>
        <w:fldChar w:fldCharType="separate"/>
      </w:r>
      <w:hyperlink w:anchor="_Toc199854254" w:history="1">
        <w:r w:rsidR="00A056EE" w:rsidRPr="00E911A8">
          <w:rPr>
            <w:rStyle w:val="Hyperlink"/>
            <w:noProof/>
          </w:rPr>
          <w:t>Table 1: Bidders Mandatory Information</w:t>
        </w:r>
        <w:r w:rsidR="00A056EE">
          <w:rPr>
            <w:noProof/>
            <w:webHidden/>
          </w:rPr>
          <w:tab/>
        </w:r>
        <w:r w:rsidR="00A056EE">
          <w:rPr>
            <w:noProof/>
            <w:webHidden/>
          </w:rPr>
          <w:fldChar w:fldCharType="begin"/>
        </w:r>
        <w:r w:rsidR="00A056EE">
          <w:rPr>
            <w:noProof/>
            <w:webHidden/>
          </w:rPr>
          <w:instrText xml:space="preserve"> PAGEREF _Toc199854254 \h </w:instrText>
        </w:r>
        <w:r w:rsidR="00A056EE">
          <w:rPr>
            <w:noProof/>
            <w:webHidden/>
          </w:rPr>
        </w:r>
        <w:r w:rsidR="00A056EE">
          <w:rPr>
            <w:noProof/>
            <w:webHidden/>
          </w:rPr>
          <w:fldChar w:fldCharType="separate"/>
        </w:r>
        <w:r w:rsidR="000C3C26">
          <w:rPr>
            <w:noProof/>
            <w:webHidden/>
          </w:rPr>
          <w:t>6</w:t>
        </w:r>
        <w:r w:rsidR="00A056EE">
          <w:rPr>
            <w:noProof/>
            <w:webHidden/>
          </w:rPr>
          <w:fldChar w:fldCharType="end"/>
        </w:r>
      </w:hyperlink>
    </w:p>
    <w:p w14:paraId="1FD83C99" w14:textId="62A3B423" w:rsidR="00A056EE" w:rsidRDefault="00A056EE">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199854255" w:history="1">
        <w:r w:rsidRPr="00E911A8">
          <w:rPr>
            <w:rStyle w:val="Hyperlink"/>
            <w:noProof/>
          </w:rPr>
          <w:t>Table 2: EFS Tests and Thresholds</w:t>
        </w:r>
        <w:r>
          <w:rPr>
            <w:noProof/>
            <w:webHidden/>
          </w:rPr>
          <w:tab/>
        </w:r>
        <w:r>
          <w:rPr>
            <w:noProof/>
            <w:webHidden/>
          </w:rPr>
          <w:fldChar w:fldCharType="begin"/>
        </w:r>
        <w:r>
          <w:rPr>
            <w:noProof/>
            <w:webHidden/>
          </w:rPr>
          <w:instrText xml:space="preserve"> PAGEREF _Toc199854255 \h </w:instrText>
        </w:r>
        <w:r>
          <w:rPr>
            <w:noProof/>
            <w:webHidden/>
          </w:rPr>
        </w:r>
        <w:r>
          <w:rPr>
            <w:noProof/>
            <w:webHidden/>
          </w:rPr>
          <w:fldChar w:fldCharType="separate"/>
        </w:r>
        <w:r w:rsidR="000C3C26">
          <w:rPr>
            <w:noProof/>
            <w:webHidden/>
          </w:rPr>
          <w:t>7</w:t>
        </w:r>
        <w:r>
          <w:rPr>
            <w:noProof/>
            <w:webHidden/>
          </w:rPr>
          <w:fldChar w:fldCharType="end"/>
        </w:r>
      </w:hyperlink>
    </w:p>
    <w:p w14:paraId="1C796764" w14:textId="05AD019B" w:rsidR="00531D0B" w:rsidRDefault="00836D85" w:rsidP="00A056EE">
      <w:pPr>
        <w:spacing w:before="0"/>
        <w:rPr>
          <w:szCs w:val="22"/>
        </w:rPr>
      </w:pPr>
      <w:r>
        <w:rPr>
          <w:b/>
          <w:bCs/>
          <w:sz w:val="32"/>
          <w:szCs w:val="32"/>
        </w:rPr>
        <w:fldChar w:fldCharType="end"/>
      </w:r>
      <w:r w:rsidR="00A056EE">
        <w:rPr>
          <w:szCs w:val="22"/>
        </w:rPr>
        <w:t xml:space="preserve"> </w:t>
      </w:r>
    </w:p>
    <w:p w14:paraId="2E4D83E0" w14:textId="77777777" w:rsidR="00531D0B" w:rsidRDefault="00531D0B" w:rsidP="007C5C22">
      <w:pPr>
        <w:spacing w:before="0"/>
        <w:rPr>
          <w:szCs w:val="22"/>
        </w:rPr>
      </w:pPr>
    </w:p>
    <w:p w14:paraId="1CADD23C" w14:textId="16B5B115"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8E6BF2" w14:paraId="5328A101" w14:textId="77777777" w:rsidTr="003828D3">
        <w:tc>
          <w:tcPr>
            <w:tcW w:w="2539" w:type="dxa"/>
          </w:tcPr>
          <w:p w14:paraId="0B33B7F5" w14:textId="164F516B" w:rsidR="008E6BF2" w:rsidRPr="008E6BF2" w:rsidRDefault="00D906CA" w:rsidP="00832D12">
            <w:r w:rsidRPr="00D906CA">
              <w:t>COP</w:t>
            </w:r>
          </w:p>
        </w:tc>
        <w:tc>
          <w:tcPr>
            <w:tcW w:w="6975" w:type="dxa"/>
          </w:tcPr>
          <w:p w14:paraId="5A24DC69" w14:textId="3BE4BD3A" w:rsidR="008E6BF2" w:rsidRPr="003271DF" w:rsidRDefault="00D906CA" w:rsidP="00832D12">
            <w:r w:rsidRPr="00D906CA">
              <w:t>Conditions of Participation</w:t>
            </w:r>
          </w:p>
        </w:tc>
      </w:tr>
      <w:tr w:rsidR="004F1234" w14:paraId="1A9ADFCD" w14:textId="77777777" w:rsidTr="003828D3">
        <w:tc>
          <w:tcPr>
            <w:tcW w:w="2539" w:type="dxa"/>
          </w:tcPr>
          <w:p w14:paraId="586C71C7" w14:textId="102A8240" w:rsidR="004F1234" w:rsidRPr="008E6BF2" w:rsidRDefault="00D906CA" w:rsidP="00832D12">
            <w:r w:rsidRPr="009D09F8">
              <w:t>EFS</w:t>
            </w:r>
          </w:p>
        </w:tc>
        <w:tc>
          <w:tcPr>
            <w:tcW w:w="6975" w:type="dxa"/>
          </w:tcPr>
          <w:p w14:paraId="5355B8AE" w14:textId="51447480" w:rsidR="004F1234" w:rsidRPr="003271DF" w:rsidRDefault="00D906CA" w:rsidP="00832D12">
            <w:r w:rsidRPr="009D09F8">
              <w:t xml:space="preserve">Economic &amp; Financial Standing </w:t>
            </w:r>
          </w:p>
        </w:tc>
      </w:tr>
      <w:tr w:rsidR="008E6BF2" w14:paraId="6BA2EEE9" w14:textId="77777777" w:rsidTr="003828D3">
        <w:tc>
          <w:tcPr>
            <w:tcW w:w="2539" w:type="dxa"/>
          </w:tcPr>
          <w:p w14:paraId="6A8DF393" w14:textId="0D2C73BC" w:rsidR="008E6BF2" w:rsidRPr="00A97330" w:rsidRDefault="008E6BF2" w:rsidP="008E6BF2">
            <w:pPr>
              <w:rPr>
                <w:b/>
                <w:bCs/>
              </w:rPr>
            </w:pPr>
            <w:r w:rsidRPr="00376103">
              <w:t>JV</w:t>
            </w:r>
          </w:p>
        </w:tc>
        <w:tc>
          <w:tcPr>
            <w:tcW w:w="6975" w:type="dxa"/>
          </w:tcPr>
          <w:p w14:paraId="62C6471C" w14:textId="7DC0048F" w:rsidR="008E6BF2" w:rsidRPr="00714B1E" w:rsidRDefault="00190EBF" w:rsidP="008E6BF2">
            <w:r w:rsidRPr="00376103">
              <w:t>Joint Venture</w:t>
            </w:r>
            <w:r>
              <w:t xml:space="preserve"> -</w:t>
            </w:r>
            <w:r w:rsidRPr="00376103">
              <w:t xml:space="preserve"> </w:t>
            </w:r>
            <w:r w:rsidR="008E6BF2">
              <w:t>A</w:t>
            </w:r>
            <w:r w:rsidR="008E6BF2" w:rsidRPr="00376103">
              <w:t>n association of two or more companies or organisations, with the objective of pooling their resources for the purposes of bidding for and delivering the SCDP opportunity. The Joint Venture would be unincorporated, and members will be jointly and severally liable for the performance of the contract.</w:t>
            </w:r>
          </w:p>
        </w:tc>
      </w:tr>
      <w:tr w:rsidR="008E6BF2" w14:paraId="1D4AC05A" w14:textId="77777777" w:rsidTr="003828D3">
        <w:tc>
          <w:tcPr>
            <w:tcW w:w="2539" w:type="dxa"/>
          </w:tcPr>
          <w:p w14:paraId="2328E8F0" w14:textId="4616802F" w:rsidR="008E6BF2" w:rsidRPr="00A97330" w:rsidRDefault="008E6BF2" w:rsidP="008E6BF2">
            <w:pPr>
              <w:rPr>
                <w:b/>
                <w:bCs/>
              </w:rPr>
            </w:pPr>
            <w:r w:rsidRPr="00916E00">
              <w:t>Nominated Entity</w:t>
            </w:r>
          </w:p>
        </w:tc>
        <w:tc>
          <w:tcPr>
            <w:tcW w:w="6975" w:type="dxa"/>
          </w:tcPr>
          <w:p w14:paraId="737CFEE0" w14:textId="68405C5F" w:rsidR="008E6BF2" w:rsidRPr="00714B1E" w:rsidRDefault="008E6BF2" w:rsidP="008E6BF2">
            <w:r>
              <w:t>A</w:t>
            </w:r>
            <w:r w:rsidRPr="00916E00">
              <w:t>n entity which is put forward by the Bidder, or a member of a JV which is to be relied upon to pass the EFS assessment.</w:t>
            </w:r>
          </w:p>
        </w:tc>
      </w:tr>
      <w:tr w:rsidR="008E6BF2" w14:paraId="04B5525E" w14:textId="77777777" w:rsidTr="003828D3">
        <w:tc>
          <w:tcPr>
            <w:tcW w:w="2539" w:type="dxa"/>
          </w:tcPr>
          <w:p w14:paraId="3DFE0B37" w14:textId="7A1130F8" w:rsidR="008E6BF2" w:rsidRPr="00A97330" w:rsidRDefault="008E6BF2" w:rsidP="008E6BF2">
            <w:pPr>
              <w:rPr>
                <w:b/>
                <w:bCs/>
              </w:rPr>
            </w:pPr>
            <w:r w:rsidRPr="00D31A45">
              <w:t>Prime Contractor</w:t>
            </w:r>
          </w:p>
        </w:tc>
        <w:tc>
          <w:tcPr>
            <w:tcW w:w="6975" w:type="dxa"/>
          </w:tcPr>
          <w:p w14:paraId="56012355" w14:textId="00909F65" w:rsidR="008E6BF2" w:rsidRDefault="008E6BF2" w:rsidP="008E6BF2">
            <w:r>
              <w:t>A</w:t>
            </w:r>
            <w:r w:rsidRPr="00D31A45">
              <w:t xml:space="preserve"> corporate vehicle that is a Bidder in its own right.</w:t>
            </w:r>
          </w:p>
        </w:tc>
      </w:tr>
      <w:tr w:rsidR="008E6BF2" w14:paraId="1FC8CA7D" w14:textId="77777777" w:rsidTr="003828D3">
        <w:tc>
          <w:tcPr>
            <w:tcW w:w="2539" w:type="dxa"/>
          </w:tcPr>
          <w:p w14:paraId="706B333A" w14:textId="57F3B834" w:rsidR="008E6BF2" w:rsidRPr="00D760C8" w:rsidRDefault="008E6BF2" w:rsidP="008E6BF2">
            <w:r w:rsidRPr="00D760C8">
              <w:t>SCDP</w:t>
            </w:r>
          </w:p>
        </w:tc>
        <w:tc>
          <w:tcPr>
            <w:tcW w:w="6975" w:type="dxa"/>
          </w:tcPr>
          <w:p w14:paraId="5B993666" w14:textId="3BEE8F8A" w:rsidR="008E6BF2" w:rsidRDefault="008E6BF2" w:rsidP="008E6BF2">
            <w:r>
              <w:t>Site Characterisation Delivery Partner</w:t>
            </w:r>
          </w:p>
        </w:tc>
      </w:tr>
      <w:tr w:rsidR="008E6BF2" w14:paraId="5FB68014" w14:textId="77777777" w:rsidTr="003828D3">
        <w:tc>
          <w:tcPr>
            <w:tcW w:w="2539" w:type="dxa"/>
          </w:tcPr>
          <w:p w14:paraId="55AAE82C" w14:textId="6E14975C" w:rsidR="008E6BF2" w:rsidRPr="00D760C8" w:rsidRDefault="008E6BF2" w:rsidP="008E6BF2">
            <w:r w:rsidRPr="005B3B3E">
              <w:t>SPV</w:t>
            </w:r>
          </w:p>
        </w:tc>
        <w:tc>
          <w:tcPr>
            <w:tcW w:w="6975" w:type="dxa"/>
          </w:tcPr>
          <w:p w14:paraId="1899CF68" w14:textId="26FFA54D" w:rsidR="008E6BF2" w:rsidRDefault="008E6BF2" w:rsidP="008E6BF2">
            <w:r w:rsidRPr="005B3B3E">
              <w:t>Special Purpose Vehicle - is a company which is formed by an organisation, or multiple organisations, to bid for the SCDP opportunity.</w:t>
            </w:r>
          </w:p>
        </w:tc>
      </w:tr>
      <w:tr w:rsidR="008E6BF2" w14:paraId="669D5E6F" w14:textId="77777777" w:rsidTr="003828D3">
        <w:tc>
          <w:tcPr>
            <w:tcW w:w="2539" w:type="dxa"/>
          </w:tcPr>
          <w:p w14:paraId="67AD674F" w14:textId="09ED2431" w:rsidR="008E6BF2" w:rsidRPr="00D760C8" w:rsidRDefault="008E6BF2" w:rsidP="008E6BF2">
            <w:r w:rsidRPr="00D760C8">
              <w:t>Workshare</w:t>
            </w:r>
          </w:p>
        </w:tc>
        <w:tc>
          <w:tcPr>
            <w:tcW w:w="6975" w:type="dxa"/>
          </w:tcPr>
          <w:p w14:paraId="02613791" w14:textId="69921190" w:rsidR="008E6BF2" w:rsidRDefault="008E6BF2" w:rsidP="008E6BF2">
            <w:r w:rsidRPr="00D760C8">
              <w:t>Refers to the percentage of SCDP capability/scope delivered by a member of a JV in a single year.</w:t>
            </w:r>
          </w:p>
        </w:tc>
      </w:tr>
    </w:tbl>
    <w:p w14:paraId="69C558C7" w14:textId="7E11A9BD" w:rsidR="00E52062" w:rsidRDefault="00E52062" w:rsidP="002A3DE1"/>
    <w:p w14:paraId="6ECE97D9" w14:textId="3A5F0165" w:rsidR="00832D12" w:rsidRPr="001A2998" w:rsidRDefault="00832D12" w:rsidP="001A2998">
      <w:r w:rsidRPr="00BE5982">
        <w:br w:type="page"/>
      </w:r>
    </w:p>
    <w:p w14:paraId="78B156AC" w14:textId="54BBEAED" w:rsidR="00DF398B" w:rsidRDefault="00A35113" w:rsidP="00081A60">
      <w:pPr>
        <w:pStyle w:val="Heading11"/>
      </w:pPr>
      <w:bookmarkStart w:id="3" w:name="_Toc199854520"/>
      <w:bookmarkEnd w:id="2"/>
      <w:r>
        <w:lastRenderedPageBreak/>
        <w:t>Purpose</w:t>
      </w:r>
      <w:bookmarkEnd w:id="3"/>
    </w:p>
    <w:p w14:paraId="7818F1B3" w14:textId="74B5B6C7" w:rsidR="00C0746D" w:rsidRPr="00F74E8D" w:rsidRDefault="00B927F9" w:rsidP="003F368A">
      <w:r w:rsidRPr="00B927F9">
        <w:t>This document is intended to provide potential Bidders with an opportunity to review draft proposals for the SCDP Economic &amp; Financial Standing (EFS) assessment which will form part of the Conditions of Participation (COP)/supplier qualification stage. All ratios, measures and thresholds are subject to change, feedback is welcomed on initial proposals.</w:t>
      </w:r>
    </w:p>
    <w:p w14:paraId="23674778" w14:textId="57856156" w:rsidR="00477544" w:rsidRPr="00477544" w:rsidRDefault="00124FC1" w:rsidP="00E24EDB">
      <w:pPr>
        <w:pStyle w:val="Heading11"/>
      </w:pPr>
      <w:bookmarkStart w:id="4" w:name="_Toc199854521"/>
      <w:r w:rsidRPr="00124FC1">
        <w:t>EFS Assessment - Structure</w:t>
      </w:r>
      <w:bookmarkEnd w:id="4"/>
    </w:p>
    <w:p w14:paraId="3268561A" w14:textId="1AFC4649" w:rsidR="0090595B" w:rsidRDefault="00E24EDB" w:rsidP="00477544">
      <w:r w:rsidRPr="00E24EDB">
        <w:t>The SCDP EFS assessment will seek to ensure that Bidders have sufficient financial strength to deliver the proposed contract. The assessment will require Bidders to provide the following mandatory information:</w:t>
      </w:r>
    </w:p>
    <w:tbl>
      <w:tblPr>
        <w:tblStyle w:val="TableGrid7"/>
        <w:tblW w:w="0" w:type="auto"/>
        <w:jc w:val="center"/>
        <w:tblLook w:val="04A0" w:firstRow="1" w:lastRow="0" w:firstColumn="1" w:lastColumn="0" w:noHBand="0" w:noVBand="1"/>
      </w:tblPr>
      <w:tblGrid>
        <w:gridCol w:w="5949"/>
        <w:gridCol w:w="1805"/>
        <w:gridCol w:w="1262"/>
      </w:tblGrid>
      <w:tr w:rsidR="006869AC" w:rsidRPr="006869AC" w14:paraId="54F7CC30" w14:textId="77777777" w:rsidTr="000B7113">
        <w:trPr>
          <w:trHeight w:val="657"/>
          <w:jc w:val="center"/>
        </w:trPr>
        <w:tc>
          <w:tcPr>
            <w:tcW w:w="5949" w:type="dxa"/>
            <w:shd w:val="clear" w:color="auto" w:fill="326E69"/>
            <w:vAlign w:val="center"/>
          </w:tcPr>
          <w:p w14:paraId="4B4158DC" w14:textId="77777777" w:rsidR="006869AC" w:rsidRPr="006869AC" w:rsidRDefault="006869AC" w:rsidP="006869AC">
            <w:pPr>
              <w:spacing w:before="0" w:after="0"/>
              <w:jc w:val="center"/>
              <w:rPr>
                <w:rFonts w:cs="Arial"/>
                <w:b/>
                <w:bCs/>
                <w:color w:val="FFFFFF"/>
                <w:sz w:val="18"/>
                <w:szCs w:val="18"/>
                <w:lang w:eastAsia="ja-JP"/>
              </w:rPr>
            </w:pPr>
            <w:r w:rsidRPr="006869AC">
              <w:rPr>
                <w:rFonts w:cs="Arial"/>
                <w:b/>
                <w:bCs/>
                <w:color w:val="FFFFFF"/>
                <w:sz w:val="18"/>
                <w:szCs w:val="18"/>
                <w:lang w:eastAsia="ja-JP"/>
              </w:rPr>
              <w:t>Mandatory Information</w:t>
            </w:r>
          </w:p>
        </w:tc>
        <w:tc>
          <w:tcPr>
            <w:tcW w:w="1805" w:type="dxa"/>
            <w:shd w:val="clear" w:color="auto" w:fill="326E69"/>
            <w:vAlign w:val="center"/>
          </w:tcPr>
          <w:p w14:paraId="24FAD753" w14:textId="77777777" w:rsidR="006869AC" w:rsidRPr="006869AC" w:rsidRDefault="006869AC" w:rsidP="006869AC">
            <w:pPr>
              <w:spacing w:before="0" w:after="0"/>
              <w:jc w:val="center"/>
              <w:rPr>
                <w:rFonts w:cs="Arial"/>
                <w:b/>
                <w:bCs/>
                <w:color w:val="FFFFFF"/>
                <w:sz w:val="18"/>
                <w:szCs w:val="18"/>
                <w:lang w:eastAsia="ja-JP"/>
              </w:rPr>
            </w:pPr>
            <w:r w:rsidRPr="006869AC">
              <w:rPr>
                <w:rFonts w:cs="Arial"/>
                <w:b/>
                <w:bCs/>
                <w:color w:val="FFFFFF"/>
                <w:sz w:val="18"/>
                <w:szCs w:val="18"/>
                <w:lang w:eastAsia="ja-JP"/>
              </w:rPr>
              <w:t>Information Purposes Only*</w:t>
            </w:r>
          </w:p>
        </w:tc>
        <w:tc>
          <w:tcPr>
            <w:tcW w:w="1262" w:type="dxa"/>
            <w:shd w:val="clear" w:color="auto" w:fill="326E69"/>
            <w:vAlign w:val="center"/>
          </w:tcPr>
          <w:p w14:paraId="4623581B" w14:textId="77777777" w:rsidR="006869AC" w:rsidRPr="006869AC" w:rsidRDefault="006869AC" w:rsidP="006869AC">
            <w:pPr>
              <w:spacing w:before="0" w:after="0"/>
              <w:jc w:val="center"/>
              <w:rPr>
                <w:rFonts w:cs="Arial"/>
                <w:b/>
                <w:bCs/>
                <w:color w:val="FFFFFF"/>
                <w:sz w:val="18"/>
                <w:szCs w:val="18"/>
                <w:lang w:eastAsia="ja-JP"/>
              </w:rPr>
            </w:pPr>
            <w:r w:rsidRPr="006869AC">
              <w:rPr>
                <w:rFonts w:cs="Arial"/>
                <w:b/>
                <w:bCs/>
                <w:color w:val="FFFFFF"/>
                <w:sz w:val="18"/>
                <w:szCs w:val="18"/>
                <w:lang w:eastAsia="ja-JP"/>
              </w:rPr>
              <w:t>Pass/Fail</w:t>
            </w:r>
          </w:p>
        </w:tc>
      </w:tr>
      <w:tr w:rsidR="006869AC" w:rsidRPr="006869AC" w14:paraId="755B2A7B" w14:textId="77777777" w:rsidTr="000B7113">
        <w:trPr>
          <w:trHeight w:val="527"/>
          <w:jc w:val="center"/>
        </w:trPr>
        <w:tc>
          <w:tcPr>
            <w:tcW w:w="5949" w:type="dxa"/>
            <w:vAlign w:val="center"/>
          </w:tcPr>
          <w:p w14:paraId="4161391C" w14:textId="77777777" w:rsidR="006869AC" w:rsidRPr="006869AC" w:rsidRDefault="006869AC" w:rsidP="006869AC">
            <w:pPr>
              <w:spacing w:before="0" w:after="0"/>
              <w:rPr>
                <w:rFonts w:cs="Arial"/>
                <w:sz w:val="18"/>
                <w:szCs w:val="18"/>
                <w:lang w:eastAsia="ja-JP"/>
              </w:rPr>
            </w:pPr>
            <w:r w:rsidRPr="006869AC">
              <w:rPr>
                <w:rFonts w:cs="Arial"/>
                <w:sz w:val="18"/>
                <w:szCs w:val="18"/>
                <w:lang w:eastAsia="ja-JP"/>
              </w:rPr>
              <w:t xml:space="preserve">The last </w:t>
            </w:r>
            <w:r w:rsidRPr="006869AC">
              <w:rPr>
                <w:rFonts w:cs="Arial"/>
                <w:b/>
                <w:bCs/>
                <w:sz w:val="18"/>
                <w:szCs w:val="18"/>
                <w:lang w:eastAsia="ja-JP"/>
              </w:rPr>
              <w:t>Two years</w:t>
            </w:r>
            <w:r w:rsidRPr="006869AC">
              <w:rPr>
                <w:rFonts w:cs="Arial"/>
                <w:sz w:val="18"/>
                <w:szCs w:val="18"/>
                <w:lang w:eastAsia="ja-JP"/>
              </w:rPr>
              <w:t xml:space="preserve"> of Financial Statements* </w:t>
            </w:r>
          </w:p>
          <w:p w14:paraId="49D8C1AF" w14:textId="77777777" w:rsidR="006869AC" w:rsidRPr="006869AC" w:rsidRDefault="006869AC" w:rsidP="006869AC">
            <w:pPr>
              <w:numPr>
                <w:ilvl w:val="0"/>
                <w:numId w:val="23"/>
              </w:numPr>
              <w:spacing w:before="0" w:after="0"/>
              <w:contextualSpacing/>
              <w:rPr>
                <w:rFonts w:eastAsia="Arial" w:cs="Arial"/>
                <w:sz w:val="18"/>
                <w:szCs w:val="18"/>
                <w:lang w:eastAsia="en-GB"/>
              </w:rPr>
            </w:pPr>
            <w:r w:rsidRPr="006869AC">
              <w:rPr>
                <w:rFonts w:eastAsia="Arial" w:cs="Arial"/>
                <w:sz w:val="18"/>
                <w:szCs w:val="18"/>
                <w:lang w:eastAsia="en-GB"/>
              </w:rPr>
              <w:t>To be provided by the Prime Contractor, all members of a JV/consortia and any Nominated Entities</w:t>
            </w:r>
          </w:p>
        </w:tc>
        <w:tc>
          <w:tcPr>
            <w:tcW w:w="1805" w:type="dxa"/>
            <w:vAlign w:val="center"/>
          </w:tcPr>
          <w:p w14:paraId="1B8B409A" w14:textId="77777777" w:rsidR="006869AC" w:rsidRPr="006869AC" w:rsidRDefault="006869AC" w:rsidP="006869AC">
            <w:pPr>
              <w:spacing w:before="0" w:after="0"/>
              <w:jc w:val="center"/>
              <w:rPr>
                <w:rFonts w:cs="Arial"/>
                <w:b/>
                <w:bCs/>
                <w:sz w:val="18"/>
                <w:szCs w:val="18"/>
                <w:lang w:eastAsia="ja-JP"/>
              </w:rPr>
            </w:pPr>
            <w:r w:rsidRPr="006869AC">
              <w:rPr>
                <w:rFonts w:cs="Arial"/>
                <w:b/>
                <w:bCs/>
                <w:sz w:val="18"/>
                <w:szCs w:val="18"/>
                <w:lang w:eastAsia="ja-JP"/>
              </w:rPr>
              <w:t>X</w:t>
            </w:r>
          </w:p>
        </w:tc>
        <w:tc>
          <w:tcPr>
            <w:tcW w:w="1262" w:type="dxa"/>
            <w:vAlign w:val="center"/>
          </w:tcPr>
          <w:p w14:paraId="483A083F" w14:textId="77777777" w:rsidR="006869AC" w:rsidRPr="006869AC" w:rsidRDefault="006869AC" w:rsidP="006869AC">
            <w:pPr>
              <w:spacing w:before="0" w:after="0"/>
              <w:jc w:val="center"/>
              <w:rPr>
                <w:rFonts w:cs="Arial"/>
                <w:b/>
                <w:bCs/>
                <w:sz w:val="18"/>
                <w:szCs w:val="18"/>
                <w:lang w:eastAsia="ja-JP"/>
              </w:rPr>
            </w:pPr>
          </w:p>
        </w:tc>
      </w:tr>
      <w:tr w:rsidR="006869AC" w:rsidRPr="006869AC" w14:paraId="6C5503F5" w14:textId="77777777" w:rsidTr="000B7113">
        <w:trPr>
          <w:trHeight w:val="847"/>
          <w:jc w:val="center"/>
        </w:trPr>
        <w:tc>
          <w:tcPr>
            <w:tcW w:w="5949" w:type="dxa"/>
            <w:vAlign w:val="center"/>
          </w:tcPr>
          <w:p w14:paraId="4579A978" w14:textId="77777777" w:rsidR="006869AC" w:rsidRPr="006869AC" w:rsidRDefault="006869AC" w:rsidP="006869AC">
            <w:pPr>
              <w:spacing w:before="0" w:after="0"/>
              <w:rPr>
                <w:rFonts w:cs="Arial"/>
                <w:sz w:val="18"/>
                <w:szCs w:val="18"/>
                <w:lang w:val="en-US" w:eastAsia="ja-JP"/>
              </w:rPr>
            </w:pPr>
            <w:r w:rsidRPr="006869AC">
              <w:rPr>
                <w:rFonts w:cs="Arial"/>
                <w:sz w:val="18"/>
                <w:szCs w:val="18"/>
                <w:lang w:eastAsia="ja-JP"/>
              </w:rPr>
              <w:t>The calculation and inclusion of requested EFS Tests set out in the next table for the Bidder, all members of a JV, and any Nominated Entities</w:t>
            </w:r>
          </w:p>
        </w:tc>
        <w:tc>
          <w:tcPr>
            <w:tcW w:w="1805" w:type="dxa"/>
            <w:vAlign w:val="center"/>
          </w:tcPr>
          <w:p w14:paraId="676732F0" w14:textId="77777777" w:rsidR="006869AC" w:rsidRPr="006869AC" w:rsidRDefault="006869AC" w:rsidP="006869AC">
            <w:pPr>
              <w:spacing w:before="0" w:after="0"/>
              <w:jc w:val="center"/>
              <w:rPr>
                <w:rFonts w:cs="Arial"/>
                <w:b/>
                <w:bCs/>
                <w:sz w:val="18"/>
                <w:szCs w:val="18"/>
                <w:lang w:eastAsia="ja-JP"/>
              </w:rPr>
            </w:pPr>
          </w:p>
        </w:tc>
        <w:tc>
          <w:tcPr>
            <w:tcW w:w="1262" w:type="dxa"/>
            <w:vAlign w:val="center"/>
          </w:tcPr>
          <w:p w14:paraId="7D1A12ED" w14:textId="77777777" w:rsidR="006869AC" w:rsidRPr="006869AC" w:rsidRDefault="006869AC" w:rsidP="006869AC">
            <w:pPr>
              <w:spacing w:before="0" w:after="0"/>
              <w:jc w:val="center"/>
              <w:rPr>
                <w:rFonts w:cs="Arial"/>
                <w:b/>
                <w:bCs/>
                <w:sz w:val="18"/>
                <w:szCs w:val="18"/>
                <w:lang w:eastAsia="ja-JP"/>
              </w:rPr>
            </w:pPr>
            <w:r w:rsidRPr="006869AC">
              <w:rPr>
                <w:rFonts w:cs="Arial"/>
                <w:b/>
                <w:bCs/>
                <w:sz w:val="18"/>
                <w:szCs w:val="18"/>
                <w:lang w:eastAsia="ja-JP"/>
              </w:rPr>
              <w:t>X</w:t>
            </w:r>
          </w:p>
        </w:tc>
      </w:tr>
      <w:tr w:rsidR="006869AC" w:rsidRPr="006869AC" w14:paraId="518497BB" w14:textId="77777777" w:rsidTr="000B7113">
        <w:trPr>
          <w:trHeight w:val="830"/>
          <w:jc w:val="center"/>
        </w:trPr>
        <w:tc>
          <w:tcPr>
            <w:tcW w:w="5949" w:type="dxa"/>
            <w:vAlign w:val="center"/>
          </w:tcPr>
          <w:p w14:paraId="1485C392" w14:textId="77777777" w:rsidR="006869AC" w:rsidRPr="006869AC" w:rsidRDefault="006869AC" w:rsidP="006869AC">
            <w:pPr>
              <w:spacing w:before="0" w:after="0"/>
              <w:rPr>
                <w:rFonts w:cs="Arial"/>
                <w:sz w:val="18"/>
                <w:szCs w:val="18"/>
                <w:lang w:eastAsia="ja-JP"/>
              </w:rPr>
            </w:pPr>
            <w:r w:rsidRPr="006869AC">
              <w:rPr>
                <w:rFonts w:cs="Arial"/>
                <w:sz w:val="18"/>
                <w:szCs w:val="18"/>
                <w:lang w:eastAsia="ja-JP"/>
              </w:rPr>
              <w:t>For JV Bidders only, details of the % Workshare of each member of the JV (in cases of JV Bidders</w:t>
            </w:r>
          </w:p>
        </w:tc>
        <w:tc>
          <w:tcPr>
            <w:tcW w:w="1805" w:type="dxa"/>
            <w:vAlign w:val="center"/>
          </w:tcPr>
          <w:p w14:paraId="6AAC6B5D" w14:textId="77777777" w:rsidR="006869AC" w:rsidRPr="006869AC" w:rsidRDefault="006869AC" w:rsidP="006869AC">
            <w:pPr>
              <w:spacing w:before="0" w:after="0"/>
              <w:jc w:val="center"/>
              <w:rPr>
                <w:rFonts w:cs="Arial"/>
                <w:b/>
                <w:bCs/>
                <w:sz w:val="18"/>
                <w:szCs w:val="18"/>
                <w:lang w:eastAsia="ja-JP"/>
              </w:rPr>
            </w:pPr>
            <w:r w:rsidRPr="006869AC">
              <w:rPr>
                <w:rFonts w:cs="Arial"/>
                <w:b/>
                <w:bCs/>
                <w:sz w:val="18"/>
                <w:szCs w:val="18"/>
                <w:lang w:eastAsia="ja-JP"/>
              </w:rPr>
              <w:t>X</w:t>
            </w:r>
          </w:p>
        </w:tc>
        <w:tc>
          <w:tcPr>
            <w:tcW w:w="1262" w:type="dxa"/>
            <w:vAlign w:val="center"/>
          </w:tcPr>
          <w:p w14:paraId="739FB8E1" w14:textId="77777777" w:rsidR="006869AC" w:rsidRPr="006869AC" w:rsidRDefault="006869AC" w:rsidP="006869AC">
            <w:pPr>
              <w:spacing w:before="0" w:after="0"/>
              <w:jc w:val="center"/>
              <w:rPr>
                <w:rFonts w:cs="Arial"/>
                <w:b/>
                <w:bCs/>
                <w:sz w:val="18"/>
                <w:szCs w:val="18"/>
                <w:lang w:eastAsia="ja-JP"/>
              </w:rPr>
            </w:pPr>
          </w:p>
        </w:tc>
      </w:tr>
    </w:tbl>
    <w:p w14:paraId="5F3D8BC3" w14:textId="2107BEE4" w:rsidR="00C16941" w:rsidRDefault="00C16941" w:rsidP="00C16941">
      <w:pPr>
        <w:pStyle w:val="Caption"/>
        <w:rPr>
          <w:rFonts w:cs="Arial"/>
          <w:i/>
          <w:iCs/>
          <w:sz w:val="18"/>
          <w:szCs w:val="18"/>
          <w:lang w:eastAsia="ja-JP"/>
        </w:rPr>
      </w:pPr>
      <w:bookmarkStart w:id="5" w:name="_Toc199854254"/>
      <w:r>
        <w:t xml:space="preserve">Table </w:t>
      </w:r>
      <w:r>
        <w:fldChar w:fldCharType="begin"/>
      </w:r>
      <w:r>
        <w:instrText xml:space="preserve"> SEQ Table \* ARABIC </w:instrText>
      </w:r>
      <w:r>
        <w:fldChar w:fldCharType="separate"/>
      </w:r>
      <w:r w:rsidR="000C3C26">
        <w:rPr>
          <w:noProof/>
        </w:rPr>
        <w:t>1</w:t>
      </w:r>
      <w:r>
        <w:fldChar w:fldCharType="end"/>
      </w:r>
      <w:r>
        <w:t xml:space="preserve">: </w:t>
      </w:r>
      <w:r w:rsidR="009972BB">
        <w:t xml:space="preserve">Bidders </w:t>
      </w:r>
      <w:r w:rsidR="009972BB" w:rsidRPr="009972BB">
        <w:t>Mandatory Information</w:t>
      </w:r>
      <w:bookmarkEnd w:id="5"/>
    </w:p>
    <w:p w14:paraId="7E5A7E09" w14:textId="59063C20" w:rsidR="00942BE8" w:rsidRPr="00942BE8" w:rsidRDefault="00942BE8" w:rsidP="00942BE8">
      <w:pPr>
        <w:spacing w:before="0" w:after="160" w:line="279" w:lineRule="auto"/>
        <w:rPr>
          <w:rFonts w:cs="Arial"/>
          <w:i/>
          <w:iCs/>
          <w:sz w:val="18"/>
          <w:szCs w:val="18"/>
          <w:lang w:eastAsia="ja-JP"/>
        </w:rPr>
      </w:pPr>
      <w:r w:rsidRPr="00942BE8">
        <w:rPr>
          <w:rFonts w:cs="Arial"/>
          <w:i/>
          <w:iCs/>
          <w:sz w:val="18"/>
          <w:szCs w:val="18"/>
          <w:lang w:eastAsia="ja-JP"/>
        </w:rPr>
        <w:t xml:space="preserve">*Two years of audited company statutory accounts in line with filing timeline requirements contained in the Companies Act 2006, or overseas equivalent if appropriate.  </w:t>
      </w:r>
    </w:p>
    <w:p w14:paraId="51DF6BD1" w14:textId="10B6B25D" w:rsidR="00477544" w:rsidRPr="00477544" w:rsidRDefault="00607805" w:rsidP="00607805">
      <w:pPr>
        <w:pStyle w:val="Heading21"/>
      </w:pPr>
      <w:bookmarkStart w:id="6" w:name="_Toc199854522"/>
      <w:r w:rsidRPr="00607805">
        <w:t>EFS Tests and Thresholds</w:t>
      </w:r>
      <w:bookmarkEnd w:id="6"/>
    </w:p>
    <w:p w14:paraId="03380B71" w14:textId="7501E45E" w:rsidR="00477544" w:rsidRPr="00BD5969" w:rsidRDefault="00BE0023" w:rsidP="00477544">
      <w:r w:rsidRPr="00BE0023">
        <w:t>The assessment will comprise the following ‘EFS Tests and Thresholds’ with Bidders required to meet the stated tests and thresholds for the last two financial years (excluding the Dun &amp; Bradstreet Risk Indicator which will be based on an up-to-date assessment) to ‘Pass’ the assessment:</w:t>
      </w:r>
      <w:r w:rsidR="00477544" w:rsidRPr="00BD5969">
        <w:t xml:space="preserve"> </w:t>
      </w:r>
    </w:p>
    <w:tbl>
      <w:tblPr>
        <w:tblStyle w:val="TableGrid8"/>
        <w:tblW w:w="0" w:type="auto"/>
        <w:jc w:val="center"/>
        <w:tblLook w:val="04A0" w:firstRow="1" w:lastRow="0" w:firstColumn="1" w:lastColumn="0" w:noHBand="0" w:noVBand="1"/>
      </w:tblPr>
      <w:tblGrid>
        <w:gridCol w:w="4815"/>
        <w:gridCol w:w="2268"/>
        <w:gridCol w:w="1933"/>
      </w:tblGrid>
      <w:tr w:rsidR="00EE2772" w:rsidRPr="00EE2772" w14:paraId="563756ED" w14:textId="77777777" w:rsidTr="000B7113">
        <w:trPr>
          <w:trHeight w:val="657"/>
          <w:jc w:val="center"/>
        </w:trPr>
        <w:tc>
          <w:tcPr>
            <w:tcW w:w="4815" w:type="dxa"/>
            <w:shd w:val="clear" w:color="auto" w:fill="326E69"/>
            <w:vAlign w:val="center"/>
          </w:tcPr>
          <w:p w14:paraId="757F59F2" w14:textId="77777777" w:rsidR="00EE2772" w:rsidRPr="00EE2772" w:rsidRDefault="00EE2772" w:rsidP="00EE2772">
            <w:pPr>
              <w:spacing w:before="0" w:after="0"/>
              <w:jc w:val="center"/>
              <w:rPr>
                <w:rFonts w:cs="Arial"/>
                <w:b/>
                <w:bCs/>
                <w:color w:val="FFFFFF"/>
                <w:sz w:val="18"/>
                <w:szCs w:val="18"/>
                <w:lang w:eastAsia="ja-JP"/>
              </w:rPr>
            </w:pPr>
            <w:r w:rsidRPr="00EE2772">
              <w:rPr>
                <w:rFonts w:cs="Arial"/>
                <w:b/>
                <w:bCs/>
                <w:color w:val="FFFFFF"/>
                <w:sz w:val="18"/>
                <w:szCs w:val="18"/>
                <w:lang w:eastAsia="ja-JP"/>
              </w:rPr>
              <w:t>EFS Tests</w:t>
            </w:r>
          </w:p>
        </w:tc>
        <w:tc>
          <w:tcPr>
            <w:tcW w:w="2268" w:type="dxa"/>
            <w:shd w:val="clear" w:color="auto" w:fill="326E69"/>
            <w:vAlign w:val="center"/>
          </w:tcPr>
          <w:p w14:paraId="31AA9C1D" w14:textId="77777777" w:rsidR="00EE2772" w:rsidRPr="00EE2772" w:rsidRDefault="00EE2772" w:rsidP="00EE2772">
            <w:pPr>
              <w:spacing w:before="0" w:after="0"/>
              <w:jc w:val="center"/>
              <w:rPr>
                <w:rFonts w:cs="Arial"/>
                <w:b/>
                <w:bCs/>
                <w:color w:val="FFFFFF"/>
                <w:sz w:val="18"/>
                <w:szCs w:val="18"/>
                <w:lang w:eastAsia="ja-JP"/>
              </w:rPr>
            </w:pPr>
            <w:r w:rsidRPr="00EE2772">
              <w:rPr>
                <w:rFonts w:cs="Arial"/>
                <w:b/>
                <w:bCs/>
                <w:color w:val="FFFFFF"/>
                <w:sz w:val="18"/>
                <w:szCs w:val="18"/>
                <w:lang w:eastAsia="ja-JP"/>
              </w:rPr>
              <w:t>Thresholds</w:t>
            </w:r>
          </w:p>
        </w:tc>
        <w:tc>
          <w:tcPr>
            <w:tcW w:w="1933" w:type="dxa"/>
            <w:shd w:val="clear" w:color="auto" w:fill="326E69"/>
            <w:vAlign w:val="center"/>
          </w:tcPr>
          <w:p w14:paraId="7933E078" w14:textId="77777777" w:rsidR="00EE2772" w:rsidRPr="00EE2772" w:rsidRDefault="00EE2772" w:rsidP="00EE2772">
            <w:pPr>
              <w:spacing w:before="0" w:after="0"/>
              <w:jc w:val="center"/>
              <w:rPr>
                <w:rFonts w:cs="Arial"/>
                <w:b/>
                <w:bCs/>
                <w:color w:val="FFFFFF"/>
                <w:sz w:val="18"/>
                <w:szCs w:val="18"/>
                <w:lang w:eastAsia="ja-JP"/>
              </w:rPr>
            </w:pPr>
            <w:r w:rsidRPr="00EE2772">
              <w:rPr>
                <w:rFonts w:cs="Arial"/>
                <w:b/>
                <w:bCs/>
                <w:color w:val="FFFFFF"/>
                <w:sz w:val="18"/>
                <w:szCs w:val="18"/>
                <w:lang w:eastAsia="ja-JP"/>
              </w:rPr>
              <w:t>Calculation Required</w:t>
            </w:r>
          </w:p>
        </w:tc>
      </w:tr>
      <w:tr w:rsidR="00EE2772" w:rsidRPr="00EE2772" w14:paraId="23547AF1" w14:textId="77777777" w:rsidTr="000B7113">
        <w:trPr>
          <w:trHeight w:val="527"/>
          <w:jc w:val="center"/>
        </w:trPr>
        <w:tc>
          <w:tcPr>
            <w:tcW w:w="4815" w:type="dxa"/>
            <w:vAlign w:val="center"/>
          </w:tcPr>
          <w:p w14:paraId="240E9B57" w14:textId="77777777" w:rsidR="00EE2772" w:rsidRPr="00EE2772" w:rsidRDefault="00EE2772" w:rsidP="00EE2772">
            <w:pPr>
              <w:spacing w:before="0" w:after="0"/>
              <w:rPr>
                <w:rFonts w:cs="Arial"/>
                <w:sz w:val="18"/>
                <w:szCs w:val="18"/>
                <w:lang w:eastAsia="ja-JP"/>
              </w:rPr>
            </w:pPr>
            <w:r w:rsidRPr="00EE2772">
              <w:rPr>
                <w:rFonts w:cs="Arial"/>
                <w:b/>
                <w:bCs/>
                <w:color w:val="000000"/>
                <w:sz w:val="18"/>
                <w:szCs w:val="18"/>
                <w:lang w:eastAsia="ja-JP"/>
              </w:rPr>
              <w:t>Turnover Threshold:</w:t>
            </w:r>
          </w:p>
          <w:p w14:paraId="5F6A18E4" w14:textId="77777777" w:rsidR="00EE2772" w:rsidRPr="00EE2772" w:rsidRDefault="00EE2772" w:rsidP="00EE2772">
            <w:pPr>
              <w:spacing w:before="0" w:after="0"/>
              <w:rPr>
                <w:rFonts w:cs="Arial"/>
                <w:sz w:val="18"/>
                <w:szCs w:val="18"/>
                <w:lang w:eastAsia="ja-JP"/>
              </w:rPr>
            </w:pPr>
            <w:r w:rsidRPr="00EE2772">
              <w:rPr>
                <w:rFonts w:cs="Arial"/>
                <w:i/>
                <w:iCs/>
                <w:color w:val="000000"/>
                <w:sz w:val="18"/>
                <w:szCs w:val="18"/>
                <w:lang w:eastAsia="ja-JP"/>
              </w:rPr>
              <w:t>Assesses whether winning the contract could have such a material impact on the organisation that it could struggle to deliver the contract successfully.</w:t>
            </w:r>
          </w:p>
        </w:tc>
        <w:tc>
          <w:tcPr>
            <w:tcW w:w="2268" w:type="dxa"/>
            <w:tcBorders>
              <w:top w:val="single" w:sz="4" w:space="0" w:color="auto"/>
              <w:bottom w:val="single" w:sz="4" w:space="0" w:color="auto"/>
              <w:right w:val="single" w:sz="4" w:space="0" w:color="auto"/>
            </w:tcBorders>
            <w:vAlign w:val="center"/>
          </w:tcPr>
          <w:p w14:paraId="0449DD31" w14:textId="77777777" w:rsidR="00EE2772" w:rsidRPr="00EE2772" w:rsidRDefault="00EE2772" w:rsidP="00EE2772">
            <w:pPr>
              <w:spacing w:before="0" w:after="0" w:line="259" w:lineRule="auto"/>
              <w:jc w:val="center"/>
              <w:rPr>
                <w:rFonts w:cs="Arial"/>
                <w:b/>
                <w:bCs/>
                <w:color w:val="000000"/>
                <w:sz w:val="18"/>
                <w:szCs w:val="18"/>
                <w:lang w:eastAsia="ja-JP"/>
              </w:rPr>
            </w:pPr>
            <w:r w:rsidRPr="00EE2772">
              <w:rPr>
                <w:rFonts w:cs="Arial"/>
                <w:b/>
                <w:bCs/>
                <w:color w:val="000000"/>
                <w:sz w:val="18"/>
                <w:szCs w:val="18"/>
                <w:lang w:eastAsia="ja-JP"/>
              </w:rPr>
              <w:t>Minimum annual turnover of (&gt;£81.6m)*</w:t>
            </w:r>
          </w:p>
          <w:p w14:paraId="20B745AB" w14:textId="77777777" w:rsidR="00EE2772" w:rsidRPr="00EE2772" w:rsidRDefault="00EE2772" w:rsidP="00EE2772">
            <w:pPr>
              <w:spacing w:before="0" w:after="0"/>
              <w:jc w:val="center"/>
              <w:rPr>
                <w:rFonts w:cs="Arial"/>
                <w:sz w:val="14"/>
                <w:szCs w:val="14"/>
                <w:lang w:eastAsia="ja-JP"/>
              </w:rPr>
            </w:pPr>
            <w:r w:rsidRPr="00EE2772">
              <w:rPr>
                <w:rFonts w:cs="Arial"/>
                <w:color w:val="000000"/>
                <w:sz w:val="14"/>
                <w:szCs w:val="14"/>
                <w:lang w:eastAsia="ja-JP"/>
              </w:rPr>
              <w:t>Equivalent to 1.5x the estimated annual contract value or above</w:t>
            </w:r>
          </w:p>
        </w:tc>
        <w:tc>
          <w:tcPr>
            <w:tcW w:w="1933" w:type="dxa"/>
            <w:tcBorders>
              <w:top w:val="single" w:sz="4" w:space="0" w:color="auto"/>
              <w:left w:val="single" w:sz="4" w:space="0" w:color="auto"/>
              <w:bottom w:val="single" w:sz="4" w:space="0" w:color="auto"/>
              <w:right w:val="single" w:sz="4" w:space="0" w:color="auto"/>
            </w:tcBorders>
            <w:vAlign w:val="center"/>
          </w:tcPr>
          <w:p w14:paraId="31F872AF"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N/A – actual turnover values are required</w:t>
            </w:r>
          </w:p>
        </w:tc>
      </w:tr>
      <w:tr w:rsidR="00EE2772" w:rsidRPr="00EE2772" w14:paraId="311C965E" w14:textId="77777777" w:rsidTr="000B7113">
        <w:trPr>
          <w:trHeight w:val="847"/>
          <w:jc w:val="center"/>
        </w:trPr>
        <w:tc>
          <w:tcPr>
            <w:tcW w:w="4815" w:type="dxa"/>
            <w:vAlign w:val="center"/>
          </w:tcPr>
          <w:p w14:paraId="7AFD4172" w14:textId="77777777" w:rsidR="00EE2772" w:rsidRPr="00EE2772" w:rsidRDefault="00EE2772" w:rsidP="00EE2772">
            <w:pPr>
              <w:spacing w:before="0" w:after="0"/>
              <w:rPr>
                <w:rFonts w:cs="Arial"/>
                <w:sz w:val="18"/>
                <w:szCs w:val="18"/>
                <w:lang w:eastAsia="ja-JP"/>
              </w:rPr>
            </w:pPr>
            <w:r w:rsidRPr="00EE2772">
              <w:rPr>
                <w:rFonts w:cs="Arial"/>
                <w:b/>
                <w:bCs/>
                <w:color w:val="000000"/>
                <w:sz w:val="18"/>
                <w:szCs w:val="18"/>
                <w:lang w:eastAsia="ja-JP"/>
              </w:rPr>
              <w:t>Operating Margin:</w:t>
            </w:r>
          </w:p>
          <w:p w14:paraId="60C4A0B5" w14:textId="77777777" w:rsidR="00EE2772" w:rsidRPr="00EE2772" w:rsidRDefault="00EE2772" w:rsidP="00EE2772">
            <w:pPr>
              <w:spacing w:before="0" w:after="0"/>
              <w:rPr>
                <w:rFonts w:cs="Arial"/>
                <w:sz w:val="18"/>
                <w:szCs w:val="18"/>
                <w:lang w:val="en-US" w:eastAsia="ja-JP"/>
              </w:rPr>
            </w:pPr>
            <w:r w:rsidRPr="00EE2772">
              <w:rPr>
                <w:rFonts w:cs="Arial"/>
                <w:i/>
                <w:iCs/>
                <w:color w:val="000000"/>
                <w:sz w:val="18"/>
                <w:szCs w:val="18"/>
                <w:lang w:eastAsia="ja-JP"/>
              </w:rPr>
              <w:t>Provides an insight into how much profit a company makes after deducting for variable costs of production. A healthy operating margin demonstrates ability to pay for its fixed costs.</w:t>
            </w:r>
          </w:p>
        </w:tc>
        <w:tc>
          <w:tcPr>
            <w:tcW w:w="2268" w:type="dxa"/>
            <w:tcBorders>
              <w:top w:val="single" w:sz="4" w:space="0" w:color="auto"/>
              <w:bottom w:val="single" w:sz="4" w:space="0" w:color="auto"/>
              <w:right w:val="single" w:sz="4" w:space="0" w:color="auto"/>
            </w:tcBorders>
            <w:vAlign w:val="center"/>
          </w:tcPr>
          <w:p w14:paraId="725627FA"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&gt;2%</w:t>
            </w:r>
          </w:p>
        </w:tc>
        <w:tc>
          <w:tcPr>
            <w:tcW w:w="1933" w:type="dxa"/>
            <w:tcBorders>
              <w:top w:val="single" w:sz="4" w:space="0" w:color="auto"/>
              <w:left w:val="single" w:sz="4" w:space="0" w:color="auto"/>
              <w:bottom w:val="single" w:sz="4" w:space="0" w:color="auto"/>
              <w:right w:val="single" w:sz="4" w:space="0" w:color="auto"/>
            </w:tcBorders>
            <w:vAlign w:val="center"/>
          </w:tcPr>
          <w:p w14:paraId="6E48950F"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Operating Profit</w:t>
            </w:r>
          </w:p>
          <w:p w14:paraId="718B485F" w14:textId="77777777" w:rsidR="00EE2772" w:rsidRPr="00EE2772" w:rsidRDefault="00EE2772" w:rsidP="00EE2772">
            <w:pPr>
              <w:spacing w:before="0" w:after="0"/>
              <w:jc w:val="center"/>
              <w:rPr>
                <w:rFonts w:cs="Arial"/>
                <w:strike/>
                <w:color w:val="000000"/>
                <w:sz w:val="18"/>
                <w:szCs w:val="18"/>
                <w:lang w:eastAsia="ja-JP"/>
              </w:rPr>
            </w:pPr>
            <w:r w:rsidRPr="00EE2772">
              <w:rPr>
                <w:rFonts w:cs="Arial"/>
                <w:strike/>
                <w:color w:val="000000"/>
                <w:sz w:val="18"/>
                <w:szCs w:val="18"/>
                <w:lang w:eastAsia="ja-JP"/>
              </w:rPr>
              <w:t>---------------------------</w:t>
            </w:r>
          </w:p>
          <w:p w14:paraId="07646252"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Total Revenue</w:t>
            </w:r>
          </w:p>
        </w:tc>
      </w:tr>
      <w:tr w:rsidR="00EE2772" w:rsidRPr="00EE2772" w14:paraId="0356CC16" w14:textId="77777777" w:rsidTr="000B7113">
        <w:trPr>
          <w:trHeight w:val="830"/>
          <w:jc w:val="center"/>
        </w:trPr>
        <w:tc>
          <w:tcPr>
            <w:tcW w:w="4815" w:type="dxa"/>
            <w:vAlign w:val="center"/>
          </w:tcPr>
          <w:p w14:paraId="30C15EEE" w14:textId="77777777" w:rsidR="00EE2772" w:rsidRPr="00EE2772" w:rsidRDefault="00EE2772" w:rsidP="00EE2772">
            <w:pPr>
              <w:spacing w:before="0" w:after="0"/>
              <w:rPr>
                <w:rFonts w:cs="Arial"/>
                <w:sz w:val="18"/>
                <w:szCs w:val="18"/>
                <w:lang w:eastAsia="ja-JP"/>
              </w:rPr>
            </w:pPr>
            <w:r w:rsidRPr="00EE2772">
              <w:rPr>
                <w:rFonts w:cs="Arial"/>
                <w:b/>
                <w:bCs/>
                <w:color w:val="000000"/>
                <w:sz w:val="18"/>
                <w:szCs w:val="18"/>
                <w:lang w:eastAsia="ja-JP"/>
              </w:rPr>
              <w:t>Net Asset Value:</w:t>
            </w:r>
          </w:p>
          <w:p w14:paraId="05638E95" w14:textId="77777777" w:rsidR="00EE2772" w:rsidRPr="00EE2772" w:rsidRDefault="00EE2772" w:rsidP="00EE2772">
            <w:pPr>
              <w:spacing w:before="0" w:after="0"/>
              <w:rPr>
                <w:rFonts w:cs="Arial"/>
                <w:i/>
                <w:iCs/>
                <w:color w:val="000000"/>
                <w:sz w:val="18"/>
                <w:szCs w:val="18"/>
                <w:lang w:eastAsia="ja-JP"/>
              </w:rPr>
            </w:pPr>
            <w:r w:rsidRPr="00EE2772">
              <w:rPr>
                <w:rFonts w:cs="Arial"/>
                <w:i/>
                <w:iCs/>
                <w:color w:val="000000"/>
                <w:sz w:val="18"/>
                <w:szCs w:val="18"/>
                <w:lang w:eastAsia="ja-JP"/>
              </w:rPr>
              <w:t>Provides an insight into the financial health of a company and understand the risk level of a bidder, a high net asset value suggests a strong financial position.</w:t>
            </w:r>
          </w:p>
        </w:tc>
        <w:tc>
          <w:tcPr>
            <w:tcW w:w="2268" w:type="dxa"/>
            <w:tcBorders>
              <w:top w:val="single" w:sz="4" w:space="0" w:color="auto"/>
              <w:bottom w:val="single" w:sz="4" w:space="0" w:color="auto"/>
              <w:right w:val="single" w:sz="4" w:space="0" w:color="auto"/>
            </w:tcBorders>
            <w:vAlign w:val="center"/>
          </w:tcPr>
          <w:p w14:paraId="57618D7E"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&gt;0</w:t>
            </w:r>
          </w:p>
        </w:tc>
        <w:tc>
          <w:tcPr>
            <w:tcW w:w="1933" w:type="dxa"/>
            <w:tcBorders>
              <w:top w:val="single" w:sz="4" w:space="0" w:color="auto"/>
              <w:left w:val="single" w:sz="4" w:space="0" w:color="auto"/>
              <w:bottom w:val="single" w:sz="4" w:space="0" w:color="auto"/>
              <w:right w:val="single" w:sz="4" w:space="0" w:color="auto"/>
            </w:tcBorders>
            <w:vAlign w:val="center"/>
          </w:tcPr>
          <w:p w14:paraId="547E10C9"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Total Assets – Total Liabilities</w:t>
            </w:r>
          </w:p>
        </w:tc>
      </w:tr>
      <w:tr w:rsidR="00EE2772" w:rsidRPr="00EE2772" w14:paraId="512F5017" w14:textId="77777777" w:rsidTr="000B7113">
        <w:trPr>
          <w:trHeight w:val="830"/>
          <w:jc w:val="center"/>
        </w:trPr>
        <w:tc>
          <w:tcPr>
            <w:tcW w:w="4815" w:type="dxa"/>
            <w:vAlign w:val="center"/>
          </w:tcPr>
          <w:p w14:paraId="33E00C09" w14:textId="77777777" w:rsidR="00EE2772" w:rsidRPr="00EE2772" w:rsidRDefault="00EE2772" w:rsidP="00EE2772">
            <w:pPr>
              <w:spacing w:before="0" w:after="0"/>
              <w:rPr>
                <w:rFonts w:cs="Arial"/>
                <w:b/>
                <w:bCs/>
                <w:color w:val="1F2937"/>
                <w:sz w:val="18"/>
                <w:szCs w:val="18"/>
                <w:lang w:eastAsia="ja-JP"/>
              </w:rPr>
            </w:pPr>
            <w:r w:rsidRPr="00EE2772">
              <w:rPr>
                <w:rFonts w:cs="Arial"/>
                <w:b/>
                <w:bCs/>
                <w:color w:val="1F2937"/>
                <w:sz w:val="18"/>
                <w:szCs w:val="18"/>
                <w:lang w:eastAsia="ja-JP"/>
              </w:rPr>
              <w:t>Net Debt / EBITDA:</w:t>
            </w:r>
          </w:p>
          <w:p w14:paraId="353A76E8" w14:textId="77777777" w:rsidR="00EE2772" w:rsidRPr="00EE2772" w:rsidRDefault="00EE2772" w:rsidP="00EE2772">
            <w:pPr>
              <w:spacing w:before="0" w:after="0"/>
              <w:rPr>
                <w:rFonts w:cs="Arial"/>
                <w:b/>
                <w:bCs/>
                <w:i/>
                <w:iCs/>
                <w:color w:val="000000"/>
                <w:sz w:val="18"/>
                <w:szCs w:val="18"/>
                <w:lang w:eastAsia="ja-JP"/>
              </w:rPr>
            </w:pPr>
            <w:r w:rsidRPr="00EE2772">
              <w:rPr>
                <w:rFonts w:cs="Arial"/>
                <w:i/>
                <w:iCs/>
                <w:color w:val="1F2937"/>
                <w:sz w:val="18"/>
                <w:szCs w:val="18"/>
                <w:lang w:eastAsia="ja-JP"/>
              </w:rPr>
              <w:t>Shows how many years it would take to repay net debt if EBITDA remained constant and was used in full to repay financial debt.</w:t>
            </w:r>
          </w:p>
        </w:tc>
        <w:tc>
          <w:tcPr>
            <w:tcW w:w="2268" w:type="dxa"/>
            <w:tcBorders>
              <w:top w:val="single" w:sz="4" w:space="0" w:color="auto"/>
              <w:bottom w:val="single" w:sz="4" w:space="0" w:color="auto"/>
              <w:right w:val="single" w:sz="4" w:space="0" w:color="auto"/>
            </w:tcBorders>
            <w:vAlign w:val="center"/>
          </w:tcPr>
          <w:p w14:paraId="1EF0809E"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&lt;3.5</w:t>
            </w:r>
          </w:p>
        </w:tc>
        <w:tc>
          <w:tcPr>
            <w:tcW w:w="1933" w:type="dxa"/>
            <w:tcBorders>
              <w:top w:val="single" w:sz="4" w:space="0" w:color="auto"/>
              <w:left w:val="single" w:sz="4" w:space="0" w:color="auto"/>
              <w:bottom w:val="single" w:sz="4" w:space="0" w:color="auto"/>
              <w:right w:val="single" w:sz="4" w:space="0" w:color="auto"/>
            </w:tcBorders>
            <w:vAlign w:val="center"/>
          </w:tcPr>
          <w:p w14:paraId="3AEAB5A7"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 xml:space="preserve">Net Debt </w:t>
            </w:r>
          </w:p>
          <w:p w14:paraId="5947AC5F"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w:t>
            </w:r>
          </w:p>
          <w:p w14:paraId="2DAC9726"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EBITDA</w:t>
            </w:r>
          </w:p>
        </w:tc>
      </w:tr>
      <w:tr w:rsidR="00EE2772" w:rsidRPr="00EE2772" w14:paraId="0098590D" w14:textId="77777777" w:rsidTr="00A105B4">
        <w:trPr>
          <w:trHeight w:val="1124"/>
          <w:jc w:val="center"/>
        </w:trPr>
        <w:tc>
          <w:tcPr>
            <w:tcW w:w="4815" w:type="dxa"/>
            <w:vAlign w:val="center"/>
          </w:tcPr>
          <w:p w14:paraId="1F20608B" w14:textId="77777777" w:rsidR="00EE2772" w:rsidRPr="00EE2772" w:rsidRDefault="00EE2772" w:rsidP="00EE2772">
            <w:pPr>
              <w:spacing w:before="0" w:after="0"/>
              <w:rPr>
                <w:rFonts w:cs="Arial"/>
                <w:b/>
                <w:bCs/>
                <w:color w:val="1F2937"/>
                <w:sz w:val="18"/>
                <w:szCs w:val="18"/>
                <w:lang w:eastAsia="ja-JP"/>
              </w:rPr>
            </w:pPr>
            <w:r w:rsidRPr="00EE2772">
              <w:rPr>
                <w:rFonts w:cs="Arial"/>
                <w:b/>
                <w:bCs/>
                <w:color w:val="1F2937"/>
                <w:sz w:val="18"/>
                <w:szCs w:val="18"/>
                <w:lang w:eastAsia="ja-JP"/>
              </w:rPr>
              <w:lastRenderedPageBreak/>
              <w:t>Acid Ratio:</w:t>
            </w:r>
          </w:p>
          <w:p w14:paraId="38247456" w14:textId="77777777" w:rsidR="00EE2772" w:rsidRPr="00EE2772" w:rsidRDefault="00EE2772" w:rsidP="00EE2772">
            <w:pPr>
              <w:spacing w:before="0" w:after="0"/>
              <w:rPr>
                <w:rFonts w:cs="Arial"/>
                <w:b/>
                <w:color w:val="000000"/>
                <w:sz w:val="18"/>
                <w:szCs w:val="18"/>
                <w:lang w:eastAsia="ja-JP"/>
              </w:rPr>
            </w:pPr>
            <w:r w:rsidRPr="00EE2772">
              <w:rPr>
                <w:rFonts w:cs="Arial"/>
                <w:i/>
                <w:iCs/>
                <w:color w:val="1F2937"/>
                <w:sz w:val="18"/>
                <w:szCs w:val="18"/>
                <w:lang w:eastAsia="ja-JP"/>
              </w:rPr>
              <w:t>A liquidity ratio which measures an organisation’s ability to use Cash and other assets it can quickly translate into cash to meet short-term liabilities falling due.</w:t>
            </w:r>
          </w:p>
        </w:tc>
        <w:tc>
          <w:tcPr>
            <w:tcW w:w="2268" w:type="dxa"/>
            <w:tcBorders>
              <w:top w:val="single" w:sz="4" w:space="0" w:color="auto"/>
              <w:bottom w:val="single" w:sz="4" w:space="0" w:color="auto"/>
              <w:right w:val="single" w:sz="4" w:space="0" w:color="auto"/>
            </w:tcBorders>
            <w:vAlign w:val="center"/>
          </w:tcPr>
          <w:p w14:paraId="698FD7CA"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&gt;0.8</w:t>
            </w:r>
          </w:p>
        </w:tc>
        <w:tc>
          <w:tcPr>
            <w:tcW w:w="1933" w:type="dxa"/>
            <w:tcBorders>
              <w:top w:val="single" w:sz="4" w:space="0" w:color="auto"/>
              <w:left w:val="single" w:sz="4" w:space="0" w:color="auto"/>
              <w:bottom w:val="single" w:sz="4" w:space="0" w:color="auto"/>
              <w:right w:val="single" w:sz="4" w:space="0" w:color="auto"/>
            </w:tcBorders>
            <w:vAlign w:val="center"/>
          </w:tcPr>
          <w:p w14:paraId="5E887CEB"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(Current Assets – Inventory)</w:t>
            </w:r>
          </w:p>
          <w:p w14:paraId="352D2FDE"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w:t>
            </w:r>
          </w:p>
          <w:p w14:paraId="21923217"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Current Liabilities</w:t>
            </w:r>
          </w:p>
        </w:tc>
      </w:tr>
      <w:tr w:rsidR="00EE2772" w:rsidRPr="00EE2772" w14:paraId="7F276972" w14:textId="77777777" w:rsidTr="000B7113">
        <w:trPr>
          <w:trHeight w:val="830"/>
          <w:jc w:val="center"/>
        </w:trPr>
        <w:tc>
          <w:tcPr>
            <w:tcW w:w="4815" w:type="dxa"/>
            <w:vAlign w:val="center"/>
          </w:tcPr>
          <w:p w14:paraId="6F9D0024" w14:textId="77777777" w:rsidR="00EE2772" w:rsidRPr="00EE2772" w:rsidRDefault="00EE2772" w:rsidP="00EE2772">
            <w:pPr>
              <w:spacing w:before="0" w:after="0"/>
              <w:rPr>
                <w:rFonts w:cs="Arial"/>
                <w:b/>
                <w:color w:val="000000"/>
                <w:sz w:val="18"/>
                <w:szCs w:val="18"/>
                <w:lang w:eastAsia="ja-JP"/>
              </w:rPr>
            </w:pPr>
            <w:r w:rsidRPr="00EE2772">
              <w:rPr>
                <w:rFonts w:cs="Arial"/>
                <w:b/>
                <w:color w:val="000000"/>
                <w:sz w:val="18"/>
                <w:szCs w:val="18"/>
                <w:lang w:eastAsia="ja-JP"/>
              </w:rPr>
              <w:t>Net Debt + Net Pension Deficit / EBITDA:</w:t>
            </w:r>
          </w:p>
          <w:p w14:paraId="751B5CA9" w14:textId="77777777" w:rsidR="00EE2772" w:rsidRPr="00EE2772" w:rsidRDefault="00EE2772" w:rsidP="00EE2772">
            <w:pPr>
              <w:spacing w:before="0" w:after="0"/>
              <w:rPr>
                <w:rFonts w:cs="Arial"/>
                <w:b/>
                <w:bCs/>
                <w:i/>
                <w:iCs/>
                <w:color w:val="1F2937"/>
                <w:sz w:val="18"/>
                <w:szCs w:val="18"/>
                <w:lang w:eastAsia="ja-JP"/>
              </w:rPr>
            </w:pPr>
            <w:r w:rsidRPr="00EE2772">
              <w:rPr>
                <w:rFonts w:cs="Arial"/>
                <w:i/>
                <w:iCs/>
                <w:color w:val="474747"/>
                <w:spacing w:val="-6"/>
                <w:sz w:val="18"/>
                <w:szCs w:val="18"/>
                <w:shd w:val="clear" w:color="auto" w:fill="FFFFFF"/>
                <w:lang w:eastAsia="ja-JP"/>
              </w:rPr>
              <w:t>Used as a financial metric to assess a company's financial leverage and overall debt burden relative to its earnings.</w:t>
            </w:r>
          </w:p>
        </w:tc>
        <w:tc>
          <w:tcPr>
            <w:tcW w:w="2268" w:type="dxa"/>
            <w:tcBorders>
              <w:top w:val="single" w:sz="4" w:space="0" w:color="auto"/>
              <w:bottom w:val="single" w:sz="4" w:space="0" w:color="auto"/>
              <w:right w:val="single" w:sz="4" w:space="0" w:color="auto"/>
            </w:tcBorders>
            <w:vAlign w:val="center"/>
          </w:tcPr>
          <w:p w14:paraId="35BEC73E"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&lt;5</w:t>
            </w:r>
          </w:p>
        </w:tc>
        <w:tc>
          <w:tcPr>
            <w:tcW w:w="1933" w:type="dxa"/>
            <w:tcBorders>
              <w:top w:val="single" w:sz="4" w:space="0" w:color="auto"/>
              <w:left w:val="single" w:sz="4" w:space="0" w:color="auto"/>
              <w:bottom w:val="single" w:sz="4" w:space="0" w:color="auto"/>
              <w:right w:val="single" w:sz="4" w:space="0" w:color="auto"/>
            </w:tcBorders>
            <w:vAlign w:val="center"/>
          </w:tcPr>
          <w:p w14:paraId="72EE5523"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Net Debt + Net Pension Deficit</w:t>
            </w:r>
          </w:p>
          <w:p w14:paraId="3C4501B9" w14:textId="77777777" w:rsidR="00EE2772" w:rsidRPr="00EE2772" w:rsidRDefault="00EE2772" w:rsidP="00EE2772">
            <w:pPr>
              <w:spacing w:before="0" w:after="0"/>
              <w:jc w:val="center"/>
              <w:rPr>
                <w:rFonts w:cs="Arial"/>
                <w:color w:val="000000"/>
                <w:sz w:val="18"/>
                <w:szCs w:val="18"/>
                <w:lang w:eastAsia="ja-JP"/>
              </w:rPr>
            </w:pPr>
            <w:r w:rsidRPr="00EE2772">
              <w:rPr>
                <w:rFonts w:cs="Arial"/>
                <w:color w:val="000000"/>
                <w:sz w:val="18"/>
                <w:szCs w:val="18"/>
                <w:lang w:eastAsia="ja-JP"/>
              </w:rPr>
              <w:t>----------------------------</w:t>
            </w:r>
          </w:p>
          <w:p w14:paraId="3E5FE029" w14:textId="77777777" w:rsidR="00EE2772" w:rsidRPr="00EE2772" w:rsidRDefault="00EE2772" w:rsidP="00EE2772">
            <w:pPr>
              <w:spacing w:before="0" w:after="0"/>
              <w:jc w:val="center"/>
              <w:rPr>
                <w:rFonts w:cs="Arial"/>
                <w:sz w:val="18"/>
                <w:szCs w:val="18"/>
                <w:lang w:eastAsia="ja-JP"/>
              </w:rPr>
            </w:pPr>
            <w:r w:rsidRPr="00EE2772">
              <w:rPr>
                <w:rFonts w:cs="Arial"/>
                <w:color w:val="000000"/>
                <w:sz w:val="18"/>
                <w:szCs w:val="18"/>
                <w:lang w:eastAsia="ja-JP"/>
              </w:rPr>
              <w:t>EBITDA</w:t>
            </w:r>
          </w:p>
        </w:tc>
      </w:tr>
      <w:tr w:rsidR="00EE2772" w:rsidRPr="00EE2772" w14:paraId="129468E1" w14:textId="77777777" w:rsidTr="000B7113">
        <w:trPr>
          <w:trHeight w:val="77"/>
          <w:jc w:val="center"/>
        </w:trPr>
        <w:tc>
          <w:tcPr>
            <w:tcW w:w="4815" w:type="dxa"/>
            <w:vAlign w:val="center"/>
          </w:tcPr>
          <w:p w14:paraId="2605317A" w14:textId="77777777" w:rsidR="00EE2772" w:rsidRPr="00EE2772" w:rsidRDefault="00EE2772" w:rsidP="00EE2772">
            <w:pPr>
              <w:spacing w:before="0" w:after="0"/>
              <w:rPr>
                <w:rFonts w:cs="Arial"/>
                <w:sz w:val="18"/>
                <w:szCs w:val="18"/>
                <w:lang w:eastAsia="ja-JP"/>
              </w:rPr>
            </w:pPr>
            <w:r w:rsidRPr="00EE2772">
              <w:rPr>
                <w:rFonts w:cs="Arial"/>
                <w:b/>
                <w:color w:val="000000"/>
                <w:sz w:val="18"/>
                <w:szCs w:val="18"/>
                <w:lang w:eastAsia="ja-JP"/>
              </w:rPr>
              <w:t>Dun &amp; Bradstreet (D&amp;B) Risk Indicator Score:</w:t>
            </w:r>
          </w:p>
          <w:p w14:paraId="3047E0ED" w14:textId="77777777" w:rsidR="00EE2772" w:rsidRPr="00EE2772" w:rsidRDefault="00EE2772" w:rsidP="00EE2772">
            <w:pPr>
              <w:spacing w:before="0" w:after="0"/>
              <w:rPr>
                <w:rFonts w:cs="Arial"/>
                <w:b/>
                <w:color w:val="000000"/>
                <w:sz w:val="18"/>
                <w:szCs w:val="18"/>
                <w:lang w:eastAsia="ja-JP"/>
              </w:rPr>
            </w:pPr>
            <w:r w:rsidRPr="00EE2772">
              <w:rPr>
                <w:rFonts w:cs="Arial"/>
                <w:i/>
                <w:color w:val="000000"/>
                <w:sz w:val="18"/>
                <w:szCs w:val="18"/>
                <w:lang w:eastAsia="ja-JP"/>
              </w:rPr>
              <w:t>An overall measure of a business' financial health.</w:t>
            </w:r>
          </w:p>
        </w:tc>
        <w:tc>
          <w:tcPr>
            <w:tcW w:w="2268" w:type="dxa"/>
            <w:tcBorders>
              <w:top w:val="single" w:sz="4" w:space="0" w:color="auto"/>
              <w:bottom w:val="single" w:sz="4" w:space="0" w:color="auto"/>
              <w:right w:val="single" w:sz="4" w:space="0" w:color="auto"/>
            </w:tcBorders>
            <w:vAlign w:val="center"/>
          </w:tcPr>
          <w:p w14:paraId="508CA223" w14:textId="77777777" w:rsidR="00EE2772" w:rsidRPr="00EE2772" w:rsidRDefault="00EE2772" w:rsidP="00EE2772">
            <w:pPr>
              <w:spacing w:before="0" w:after="0"/>
              <w:jc w:val="center"/>
              <w:rPr>
                <w:rFonts w:cs="Arial"/>
                <w:b/>
                <w:bCs/>
                <w:sz w:val="18"/>
                <w:szCs w:val="18"/>
                <w:lang w:eastAsia="ja-JP"/>
              </w:rPr>
            </w:pPr>
            <w:r w:rsidRPr="00EE2772">
              <w:rPr>
                <w:rFonts w:cs="Arial"/>
                <w:b/>
                <w:bCs/>
                <w:sz w:val="18"/>
                <w:szCs w:val="18"/>
                <w:lang w:eastAsia="ja-JP"/>
              </w:rPr>
              <w:t>&lt;3 – Higher than Average Risk</w:t>
            </w:r>
          </w:p>
        </w:tc>
        <w:tc>
          <w:tcPr>
            <w:tcW w:w="1933" w:type="dxa"/>
            <w:tcBorders>
              <w:top w:val="single" w:sz="4" w:space="0" w:color="auto"/>
              <w:left w:val="single" w:sz="4" w:space="0" w:color="auto"/>
              <w:bottom w:val="single" w:sz="4" w:space="0" w:color="auto"/>
              <w:right w:val="single" w:sz="4" w:space="0" w:color="auto"/>
            </w:tcBorders>
            <w:vAlign w:val="center"/>
          </w:tcPr>
          <w:p w14:paraId="3E3501D7" w14:textId="77777777" w:rsidR="00EE2772" w:rsidRPr="00EE2772" w:rsidRDefault="00EE2772" w:rsidP="00EE2772">
            <w:pPr>
              <w:spacing w:before="0" w:after="0"/>
              <w:jc w:val="center"/>
              <w:rPr>
                <w:rFonts w:cs="Arial"/>
                <w:sz w:val="18"/>
                <w:szCs w:val="18"/>
                <w:lang w:eastAsia="ja-JP"/>
              </w:rPr>
            </w:pPr>
            <w:r w:rsidRPr="00EE2772">
              <w:rPr>
                <w:rFonts w:cs="Arial"/>
                <w:sz w:val="18"/>
                <w:szCs w:val="18"/>
                <w:lang w:eastAsia="ja-JP"/>
              </w:rPr>
              <w:t>N/A – Risk Indicator score is generated on a standard D&amp;B report</w:t>
            </w:r>
          </w:p>
        </w:tc>
      </w:tr>
    </w:tbl>
    <w:p w14:paraId="6146AF44" w14:textId="214BC378" w:rsidR="00CA7D75" w:rsidRDefault="00C16941" w:rsidP="00C16941">
      <w:pPr>
        <w:pStyle w:val="Caption"/>
        <w:rPr>
          <w:rFonts w:cs="Arial"/>
          <w:b w:val="0"/>
          <w:bCs w:val="0"/>
          <w:i/>
          <w:iCs/>
          <w:sz w:val="16"/>
          <w:szCs w:val="16"/>
        </w:rPr>
      </w:pPr>
      <w:bookmarkStart w:id="7" w:name="_Toc199854255"/>
      <w:r>
        <w:t xml:space="preserve">Table </w:t>
      </w:r>
      <w:r>
        <w:fldChar w:fldCharType="begin"/>
      </w:r>
      <w:r>
        <w:instrText xml:space="preserve"> SEQ Table \* ARABIC </w:instrText>
      </w:r>
      <w:r>
        <w:fldChar w:fldCharType="separate"/>
      </w:r>
      <w:r w:rsidR="000C3C26">
        <w:rPr>
          <w:noProof/>
        </w:rPr>
        <w:t>2</w:t>
      </w:r>
      <w:r>
        <w:fldChar w:fldCharType="end"/>
      </w:r>
      <w:r>
        <w:t xml:space="preserve">: </w:t>
      </w:r>
      <w:r w:rsidR="00A056EE" w:rsidRPr="00A056EE">
        <w:t>EFS Tests and Thresholds</w:t>
      </w:r>
      <w:bookmarkEnd w:id="7"/>
    </w:p>
    <w:p w14:paraId="20BD448D" w14:textId="1F06C1D4" w:rsidR="00CA7D75" w:rsidRPr="00CA7D75" w:rsidRDefault="00CA7D75" w:rsidP="00CA7D75">
      <w:pPr>
        <w:spacing w:before="0" w:after="160" w:line="279" w:lineRule="auto"/>
        <w:rPr>
          <w:rFonts w:cs="Arial"/>
          <w:i/>
          <w:iCs/>
          <w:sz w:val="16"/>
          <w:szCs w:val="16"/>
          <w:lang w:eastAsia="en-GB"/>
        </w:rPr>
      </w:pPr>
      <w:r w:rsidRPr="00CA7D75">
        <w:rPr>
          <w:rFonts w:cs="Arial"/>
          <w:b/>
          <w:bCs/>
          <w:i/>
          <w:iCs/>
          <w:sz w:val="16"/>
          <w:szCs w:val="16"/>
          <w:lang w:eastAsia="en-GB"/>
        </w:rPr>
        <w:t>*</w:t>
      </w:r>
      <w:r w:rsidRPr="00CA7D75">
        <w:rPr>
          <w:rFonts w:cs="Arial"/>
          <w:i/>
          <w:iCs/>
          <w:sz w:val="16"/>
          <w:szCs w:val="16"/>
          <w:lang w:eastAsia="en-GB"/>
        </w:rPr>
        <w:t xml:space="preserve">Where the Bidder is a JV, the members combined turnover will need to meet the stated turnover threshold. Additionally, each member would need to have a turnover equivalent to the % workshare envisaged e.g. member 1 will deliver 10% of the anticipated Workshare and will therefore need to have a turnover of at least £8.16m (10% of the turnover threshold). </w:t>
      </w:r>
    </w:p>
    <w:p w14:paraId="04913C01" w14:textId="609E288A" w:rsidR="00A52326" w:rsidRDefault="00255703" w:rsidP="00255703">
      <w:pPr>
        <w:pStyle w:val="Heading11"/>
      </w:pPr>
      <w:bookmarkStart w:id="8" w:name="_Toc199854523"/>
      <w:r w:rsidRPr="00255703">
        <w:t>Approach to JVs</w:t>
      </w:r>
      <w:bookmarkEnd w:id="8"/>
    </w:p>
    <w:p w14:paraId="013BB5CD" w14:textId="77777777" w:rsidR="00F563C5" w:rsidRDefault="00F563C5" w:rsidP="00F563C5">
      <w:r>
        <w:t xml:space="preserve">Where the Bidder is a JV, the audited company statutory accounts or abbreviated accounts and financial statements (as applicable) shall be provided for each member of the JV with the EFS of each member to be assessed separately in accordance with the stated evaluation criteria. For the Bidder to achieve a “Pass” score, each individual member must pass the EFS Tests and Thresholds. </w:t>
      </w:r>
    </w:p>
    <w:p w14:paraId="6ABA200F" w14:textId="77777777" w:rsidR="00F563C5" w:rsidRDefault="00F563C5" w:rsidP="00F563C5">
      <w:r>
        <w:t xml:space="preserve">Bidders must also clearly state the % Workshare of each entity within the JV as this will be used for the turnover test.  NWS will reserve the right to audit this percentage allocation of work within the JV.  </w:t>
      </w:r>
    </w:p>
    <w:p w14:paraId="6125887D" w14:textId="70160E29" w:rsidR="008A5E73" w:rsidRPr="008A5E73" w:rsidRDefault="00F563C5" w:rsidP="008A5E73">
      <w:r>
        <w:t>Where the Bidder will establish a SPV, the audited company statutory accounts or abbreviated accounts and financial statements (as applicable) shall be provided for the SPV with the SPV to be assessed in accordance with the EFS Tests and Thresholds. It is assumed that the SPV will not pass the EFS Tests and Thresholds given it will be newly incorporated.  Accordingly, where a SPV solution is to be put forward, reliance on a Nominated Entity will be a prerequisite.</w:t>
      </w:r>
    </w:p>
    <w:p w14:paraId="5CE203F3" w14:textId="61CDB26B" w:rsidR="004851BA" w:rsidRDefault="00D314E4" w:rsidP="00D314E4">
      <w:pPr>
        <w:pStyle w:val="Heading11"/>
      </w:pPr>
      <w:bookmarkStart w:id="9" w:name="_Toc199854524"/>
      <w:r w:rsidRPr="00D314E4">
        <w:t>Reliance on a Nominated Entity</w:t>
      </w:r>
      <w:bookmarkEnd w:id="9"/>
    </w:p>
    <w:p w14:paraId="19FB7BC8" w14:textId="77777777" w:rsidR="004A6779" w:rsidRDefault="004A6779" w:rsidP="004A6779">
      <w:r>
        <w:t xml:space="preserve">If a Bidder, or any of its constituent members, is unable to pass the EFS Tests and Thresholds outlined (e.g. in cases of a newly or soon to be established company, or is unable to meet one or more of the outlined criteria), then it may instead opt to demonstrate suitable EFS by providing confirmation that  a Nominated Entity which does satisfy the Mandatory Information and EFS Tests and Thresholds, is willing to guarantee the performance of the Bidder. A Nominated Entity must be identified in the original COP submission. </w:t>
      </w:r>
    </w:p>
    <w:p w14:paraId="24EAFFF0" w14:textId="5FC86E03" w:rsidR="00025928" w:rsidRDefault="004A6779" w:rsidP="004A6779">
      <w:r>
        <w:t xml:space="preserve">Nominated Entities must complete and submit the necessary Mandatory Information and EFS Tests and Thresholds in respect of its own financial status. In such circumstances, the Nominated Entity's financial status will be assessed against the EFS Tests and Thresholds, and these must be passed. The Nominated Entity will also be required to pass any questions relating to mandatory or discretionary exclusions. Additionally, a primary obligor </w:t>
      </w:r>
      <w:proofErr w:type="gramStart"/>
      <w:r>
        <w:t>guarantee</w:t>
      </w:r>
      <w:proofErr w:type="gramEnd"/>
      <w:r>
        <w:t xml:space="preserve"> from the Nominated Entity (a form will be set out in the COP), and a signed letter of support will be a condition precedent to the Bidder being deemed to have passed the EFS requirements. For a JV, any guarantee from a Nominated Entity will be on a joint and several basis with the members of the JV.</w:t>
      </w:r>
    </w:p>
    <w:p w14:paraId="028EF240" w14:textId="77777777" w:rsidR="00245A11" w:rsidRPr="00BD5969" w:rsidRDefault="00245A11" w:rsidP="004A6779"/>
    <w:p w14:paraId="70D2648E" w14:textId="2E7176A2" w:rsidR="00025928" w:rsidRDefault="001B2666" w:rsidP="001B2666">
      <w:pPr>
        <w:pStyle w:val="Heading21"/>
      </w:pPr>
      <w:bookmarkStart w:id="10" w:name="_Toc199854525"/>
      <w:r w:rsidRPr="001B2666">
        <w:lastRenderedPageBreak/>
        <w:t>Reassessment</w:t>
      </w:r>
      <w:bookmarkEnd w:id="10"/>
    </w:p>
    <w:p w14:paraId="74463D5C" w14:textId="77777777" w:rsidR="00567908" w:rsidRDefault="00567908" w:rsidP="00567908">
      <w:r>
        <w:t>The EFS Tests and Thresholds will be repeated with updated information at evaluation of final tenders and contract award.  Should a Bidder fail the EFS Tests and Thresholds on the repeated tests they shall be disqualified from the procurement unless, within 10 Business Days, they are able to put forward a Nominated Entity who passes the EFS Tests and Thresholds and is willing to provide the required form of guarantee.</w:t>
      </w:r>
    </w:p>
    <w:p w14:paraId="45ACEF1A" w14:textId="77777777" w:rsidR="00567908" w:rsidRDefault="00567908" w:rsidP="00567908">
      <w:r>
        <w:t>Where a previously relied upon Nominated Entity fails the EFS Tests and Thresholds on a repeated test, the relevant Bidder shall be disqualified from the procurement unless, within 10 Business Days, they are able to put forward an alternative Nominated Entity who passes the EFS Tests and Thresholds and is willing to provide the required form of guarantee.</w:t>
      </w:r>
    </w:p>
    <w:p w14:paraId="40FB6FE7" w14:textId="53282254" w:rsidR="00F22775" w:rsidRPr="00BD5969" w:rsidRDefault="00567908" w:rsidP="00567908">
      <w:r>
        <w:t>The SCDP Contract will include default termination triggers should the financial health of the successful Contractor and/or any Nominated Entity guarantor fall beneath specified financial thresholds</w:t>
      </w:r>
      <w:r w:rsidR="00536A2C" w:rsidRPr="00BD5969">
        <w:t>.</w:t>
      </w:r>
    </w:p>
    <w:p w14:paraId="2677DAA1" w14:textId="6ADD4246" w:rsidR="00342391" w:rsidRDefault="0050105B" w:rsidP="0050105B">
      <w:pPr>
        <w:pStyle w:val="Heading11"/>
      </w:pPr>
      <w:bookmarkStart w:id="11" w:name="_Toc199854526"/>
      <w:r w:rsidRPr="0050105B">
        <w:t>International Bidders</w:t>
      </w:r>
      <w:bookmarkEnd w:id="11"/>
    </w:p>
    <w:p w14:paraId="208C1B71" w14:textId="46254C4D" w:rsidR="00427DDC" w:rsidRPr="002C044B" w:rsidRDefault="00613303" w:rsidP="002C044B">
      <w:r w:rsidRPr="00613303">
        <w:t>All Bidders will be required to respond to the EFS financial questions using Pounds Sterling, using the applicable exchange rate from XE.com on a to be specified date. Financial statements can be provided in the native currency. Financial statements, and any supporting evidence are to be submitted in English.</w:t>
      </w:r>
    </w:p>
    <w:sectPr w:rsidR="00427DDC" w:rsidRPr="002C044B" w:rsidSect="00C12117">
      <w:headerReference w:type="first" r:id="rId19"/>
      <w:footerReference w:type="first" r:id="rId20"/>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0187" w14:textId="77777777" w:rsidR="006600E2" w:rsidRDefault="006600E2" w:rsidP="00861618">
      <w:r>
        <w:separator/>
      </w:r>
    </w:p>
  </w:endnote>
  <w:endnote w:type="continuationSeparator" w:id="0">
    <w:p w14:paraId="1FDD4497" w14:textId="77777777" w:rsidR="006600E2" w:rsidRDefault="006600E2" w:rsidP="00861618">
      <w:r>
        <w:continuationSeparator/>
      </w:r>
    </w:p>
  </w:endnote>
  <w:endnote w:type="continuationNotice" w:id="1">
    <w:p w14:paraId="56829AEE" w14:textId="77777777" w:rsidR="006600E2" w:rsidRDefault="006600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Content>
      <w:p w14:paraId="73723FEC" w14:textId="77777777" w:rsidR="000B7113"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1BA7E27E" w:rsidR="00F528D2" w:rsidRPr="000977F4" w:rsidRDefault="000B7113" w:rsidP="000B7113">
        <w:pPr>
          <w:pStyle w:val="Footer"/>
          <w:pBdr>
            <w:top w:val="single" w:sz="4" w:space="1" w:color="003629"/>
          </w:pBdr>
        </w:pPr>
        <w:r w:rsidRPr="000B7113">
          <w:t>GDF-NWS-SCDP-AXX-CC-CS-000031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3B3EF"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Content>
      <w:sdt>
        <w:sdtPr>
          <w:id w:val="486217500"/>
          <w:docPartObj>
            <w:docPartGallery w:val="Page Numbers (Top of Page)"/>
            <w:docPartUnique/>
          </w:docPartObj>
        </w:sdt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2F4FCED8" w:rsidR="00E209F6" w:rsidRDefault="000B7113" w:rsidP="00F11DC0">
    <w:pPr>
      <w:pStyle w:val="Footer"/>
      <w:tabs>
        <w:tab w:val="clear" w:pos="0"/>
      </w:tabs>
    </w:pPr>
    <w:r w:rsidRPr="000B7113">
      <w:t>GDF-NWS-SCDP-AXX-CC-CS-000031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40B2" w14:textId="77777777" w:rsidR="006600E2" w:rsidRDefault="006600E2" w:rsidP="00861618">
      <w:r>
        <w:separator/>
      </w:r>
    </w:p>
  </w:footnote>
  <w:footnote w:type="continuationSeparator" w:id="0">
    <w:p w14:paraId="1BEF7E4D" w14:textId="77777777" w:rsidR="006600E2" w:rsidRDefault="006600E2" w:rsidP="00861618">
      <w:r>
        <w:continuationSeparator/>
      </w:r>
    </w:p>
  </w:footnote>
  <w:footnote w:type="continuationNotice" w:id="1">
    <w:p w14:paraId="4FF412E3" w14:textId="77777777" w:rsidR="006600E2" w:rsidRDefault="006600E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BF35" w14:textId="77777777" w:rsidR="007007D7" w:rsidRDefault="007007D7" w:rsidP="00DA6821">
    <w:pPr>
      <w:pStyle w:val="PROTECTIVEMARKING"/>
      <w:tabs>
        <w:tab w:val="clear" w:pos="4153"/>
        <w:tab w:val="clear" w:pos="8306"/>
      </w:tabs>
      <w:spacing w:before="0" w:after="0"/>
    </w:pPr>
  </w:p>
  <w:p w14:paraId="3C8043E1" w14:textId="1B8C1FAC"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E977B2" w:rsidRPr="00E977B2">
      <w:t>OFFICIAL: PUBLIC DRAFT FOR DISCUSSION</w:t>
    </w:r>
  </w:p>
  <w:p w14:paraId="62AEB0FD" w14:textId="62DF4BB6" w:rsidR="00817737" w:rsidRDefault="002F5807" w:rsidP="009A6112">
    <w:pPr>
      <w:pStyle w:val="PROTECTIVEMARKING"/>
      <w:spacing w:before="0" w:after="0"/>
    </w:pPr>
    <w:r>
      <w:rPr>
        <w:caps w:val="0"/>
      </w:rPr>
      <w:t>S</w:t>
    </w:r>
    <w:r w:rsidR="0018356A">
      <w:rPr>
        <w:caps w:val="0"/>
      </w:rPr>
      <w:t xml:space="preserve">ite </w:t>
    </w:r>
    <w:r>
      <w:rPr>
        <w:caps w:val="0"/>
      </w:rPr>
      <w:t>C</w:t>
    </w:r>
    <w:r w:rsidR="0018356A">
      <w:rPr>
        <w:caps w:val="0"/>
      </w:rPr>
      <w:t>harac</w:t>
    </w:r>
    <w:r w:rsidR="007007D7">
      <w:rPr>
        <w:caps w:val="0"/>
      </w:rPr>
      <w:t xml:space="preserve">terisation </w:t>
    </w:r>
    <w:r>
      <w:rPr>
        <w:caps w:val="0"/>
      </w:rPr>
      <w:t>D</w:t>
    </w:r>
    <w:r w:rsidR="007007D7">
      <w:rPr>
        <w:caps w:val="0"/>
      </w:rPr>
      <w:t xml:space="preserve">elivery </w:t>
    </w:r>
    <w:r>
      <w:rPr>
        <w:caps w:val="0"/>
      </w:rPr>
      <w:t>P</w:t>
    </w:r>
    <w:r w:rsidR="007007D7">
      <w:rPr>
        <w:caps w:val="0"/>
      </w:rPr>
      <w:t>artner</w:t>
    </w:r>
  </w:p>
  <w:p w14:paraId="1D91AE19" w14:textId="6354E805" w:rsidR="00F528D2" w:rsidRDefault="00175355"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62344" behindDoc="0" locked="0" layoutInCell="1" allowOverlap="1" wp14:anchorId="4B55F4B0" wp14:editId="3F8EE07D">
              <wp:simplePos x="0" y="0"/>
              <wp:positionH relativeFrom="page">
                <wp:align>center</wp:align>
              </wp:positionH>
              <wp:positionV relativeFrom="paragraph">
                <wp:posOffset>2809240</wp:posOffset>
              </wp:positionV>
              <wp:extent cx="6134100" cy="3691268"/>
              <wp:effectExtent l="514350" t="1238250" r="457200" b="1242695"/>
              <wp:wrapNone/>
              <wp:docPr id="1586835027"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1E19EAE4" w14:textId="77777777" w:rsidR="00175355" w:rsidRPr="003B0027" w:rsidRDefault="00175355" w:rsidP="00175355">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55F4B0" id="_x0000_t202" coordsize="21600,21600" o:spt="202" path="m,l,21600r21600,l21600,xe">
              <v:stroke joinstyle="miter"/>
              <v:path gradientshapeok="t" o:connecttype="rect"/>
            </v:shapetype>
            <v:shape id="Text Box 1" o:spid="_x0000_s1027" type="#_x0000_t202" style="position:absolute;left:0;text-align:left;margin-left:0;margin-top:221.2pt;width:483pt;height:290.65pt;rotation:-1853689fd;z-index:2516623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" fillcolor="white [3201]" stroked="f" strokeweight=".5pt">
              <v:textbox>
                <w:txbxContent>
                  <w:p w14:paraId="1E19EAE4" w14:textId="77777777" w:rsidR="00175355" w:rsidRPr="003B0027" w:rsidRDefault="00175355" w:rsidP="00175355">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page"/>
            </v:shape>
          </w:pict>
        </mc:Fallback>
      </mc:AlternateContent>
    </w:r>
    <w:r w:rsidR="007007D7" w:rsidRPr="007007D7">
      <w:rPr>
        <w:caps w:val="0"/>
      </w:rPr>
      <w:t>Economic and Financial Standing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50479F88"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Content>
        <w:r w:rsidR="00E977B2">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AE730"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95E1" w14:textId="77777777" w:rsidR="00026300" w:rsidRDefault="00026300" w:rsidP="00C12117">
    <w:pPr>
      <w:pStyle w:val="PROTECTIVEMARKING"/>
      <w:tabs>
        <w:tab w:val="clear" w:pos="4153"/>
        <w:tab w:val="clear" w:pos="8306"/>
      </w:tabs>
      <w:spacing w:before="0" w:after="0"/>
      <w:rPr>
        <w:caps w:val="0"/>
      </w:rPr>
    </w:pPr>
  </w:p>
  <w:p w14:paraId="0B0B7B68" w14:textId="0E996524"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E977B2" w:rsidRPr="00E977B2">
      <w:rPr>
        <w:caps w:val="0"/>
      </w:rPr>
      <w:t>OFFICIAL: PUBLIC DRAFT FOR DISCUSSION</w:t>
    </w:r>
  </w:p>
  <w:p w14:paraId="4353C36C" w14:textId="5605A029" w:rsidR="001F6748" w:rsidRDefault="00C12117" w:rsidP="00C12117">
    <w:pPr>
      <w:pStyle w:val="PROTECTIVEMARKING"/>
      <w:tabs>
        <w:tab w:val="clear" w:pos="4153"/>
        <w:tab w:val="clear" w:pos="8306"/>
      </w:tabs>
      <w:spacing w:before="0" w:after="0"/>
    </w:pPr>
    <w:r>
      <w:rPr>
        <w:caps w:val="0"/>
      </w:rPr>
      <w:t>S</w:t>
    </w:r>
    <w:r w:rsidR="005A336B">
      <w:rPr>
        <w:caps w:val="0"/>
      </w:rPr>
      <w:t xml:space="preserve">ite </w:t>
    </w:r>
    <w:r>
      <w:rPr>
        <w:caps w:val="0"/>
      </w:rPr>
      <w:t>C</w:t>
    </w:r>
    <w:r w:rsidR="005A336B">
      <w:rPr>
        <w:caps w:val="0"/>
      </w:rPr>
      <w:t xml:space="preserve">haracterisation </w:t>
    </w:r>
    <w:r>
      <w:rPr>
        <w:caps w:val="0"/>
      </w:rPr>
      <w:t>D</w:t>
    </w:r>
    <w:r w:rsidR="005A336B">
      <w:rPr>
        <w:caps w:val="0"/>
      </w:rPr>
      <w:t xml:space="preserve">elivery </w:t>
    </w:r>
    <w:r>
      <w:rPr>
        <w:caps w:val="0"/>
      </w:rPr>
      <w:t>P</w:t>
    </w:r>
    <w:r w:rsidR="005A336B">
      <w:rPr>
        <w:caps w:val="0"/>
      </w:rPr>
      <w:t>artner</w:t>
    </w:r>
  </w:p>
  <w:p w14:paraId="76E07139" w14:textId="3AFD6A00" w:rsidR="001F6748" w:rsidRPr="00026300" w:rsidRDefault="00175355" w:rsidP="00026300">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60296" behindDoc="0" locked="0" layoutInCell="1" allowOverlap="1" wp14:anchorId="26D8565F" wp14:editId="3E8BD3F2">
              <wp:simplePos x="0" y="0"/>
              <wp:positionH relativeFrom="margin">
                <wp:align>center</wp:align>
              </wp:positionH>
              <wp:positionV relativeFrom="paragraph">
                <wp:posOffset>2799715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2E9C3DD9" w14:textId="77777777" w:rsidR="00175355" w:rsidRPr="003B0027" w:rsidRDefault="00175355" w:rsidP="00175355">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D8565F" id="_x0000_t202" coordsize="21600,21600" o:spt="202" path="m,l,21600r21600,l21600,xe">
              <v:stroke joinstyle="miter"/>
              <v:path gradientshapeok="t" o:connecttype="rect"/>
            </v:shapetype>
            <v:shape id="_x0000_s1028" type="#_x0000_t202" style="position:absolute;left:0;text-align:left;margin-left:0;margin-top:220.45pt;width:483pt;height:290.65pt;rotation:-1853689fd;z-index:251660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" fillcolor="white [3201]" stroked="f" strokeweight=".5pt">
              <v:textbox>
                <w:txbxContent>
                  <w:p w14:paraId="2E9C3DD9" w14:textId="77777777" w:rsidR="00175355" w:rsidRPr="003B0027" w:rsidRDefault="00175355" w:rsidP="00175355">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026300">
      <w:rPr>
        <w:caps w:val="0"/>
      </w:rPr>
      <w:t>Economic and Financial Standing</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8"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B1E47"/>
    <w:multiLevelType w:val="hybridMultilevel"/>
    <w:tmpl w:val="569E7B6E"/>
    <w:lvl w:ilvl="0" w:tplc="1C8697BA">
      <w:start w:val="8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7"/>
  </w:num>
  <w:num w:numId="3" w16cid:durableId="350959761">
    <w:abstractNumId w:val="3"/>
  </w:num>
  <w:num w:numId="4" w16cid:durableId="1911504495">
    <w:abstractNumId w:val="11"/>
  </w:num>
  <w:num w:numId="5" w16cid:durableId="761023313">
    <w:abstractNumId w:val="4"/>
  </w:num>
  <w:num w:numId="6" w16cid:durableId="438188059">
    <w:abstractNumId w:val="0"/>
  </w:num>
  <w:num w:numId="7" w16cid:durableId="1681422275">
    <w:abstractNumId w:val="9"/>
  </w:num>
  <w:num w:numId="8" w16cid:durableId="1168211383">
    <w:abstractNumId w:val="4"/>
    <w:lvlOverride w:ilvl="0">
      <w:startOverride w:val="1"/>
    </w:lvlOverride>
  </w:num>
  <w:num w:numId="9" w16cid:durableId="1165392222">
    <w:abstractNumId w:val="0"/>
    <w:lvlOverride w:ilvl="0">
      <w:startOverride w:val="1"/>
    </w:lvlOverride>
  </w:num>
  <w:num w:numId="10" w16cid:durableId="2142142101">
    <w:abstractNumId w:val="16"/>
  </w:num>
  <w:num w:numId="11" w16cid:durableId="1311400910">
    <w:abstractNumId w:val="5"/>
  </w:num>
  <w:num w:numId="12" w16cid:durableId="937755750">
    <w:abstractNumId w:val="12"/>
  </w:num>
  <w:num w:numId="13" w16cid:durableId="771361731">
    <w:abstractNumId w:val="10"/>
  </w:num>
  <w:num w:numId="14" w16cid:durableId="1546331949">
    <w:abstractNumId w:val="3"/>
  </w:num>
  <w:num w:numId="15" w16cid:durableId="1669021909">
    <w:abstractNumId w:val="3"/>
  </w:num>
  <w:num w:numId="16" w16cid:durableId="1475102441">
    <w:abstractNumId w:val="3"/>
  </w:num>
  <w:num w:numId="17" w16cid:durableId="593249786">
    <w:abstractNumId w:val="13"/>
  </w:num>
  <w:num w:numId="18" w16cid:durableId="2058770999">
    <w:abstractNumId w:val="8"/>
  </w:num>
  <w:num w:numId="19" w16cid:durableId="951325394">
    <w:abstractNumId w:val="15"/>
  </w:num>
  <w:num w:numId="20" w16cid:durableId="131675847">
    <w:abstractNumId w:val="2"/>
  </w:num>
  <w:num w:numId="21" w16cid:durableId="1684016332">
    <w:abstractNumId w:val="3"/>
  </w:num>
  <w:num w:numId="22" w16cid:durableId="2072804134">
    <w:abstractNumId w:val="6"/>
  </w:num>
  <w:num w:numId="23" w16cid:durableId="72190307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00"/>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C23"/>
    <w:rsid w:val="000B0CE3"/>
    <w:rsid w:val="000B279C"/>
    <w:rsid w:val="000B2823"/>
    <w:rsid w:val="000B2A0B"/>
    <w:rsid w:val="000B3FB5"/>
    <w:rsid w:val="000B4705"/>
    <w:rsid w:val="000B4BDB"/>
    <w:rsid w:val="000B4FAE"/>
    <w:rsid w:val="000B5499"/>
    <w:rsid w:val="000B5775"/>
    <w:rsid w:val="000B5891"/>
    <w:rsid w:val="000B60D0"/>
    <w:rsid w:val="000B623A"/>
    <w:rsid w:val="000B62A7"/>
    <w:rsid w:val="000B6A1A"/>
    <w:rsid w:val="000B6F8C"/>
    <w:rsid w:val="000B7113"/>
    <w:rsid w:val="000B7DB3"/>
    <w:rsid w:val="000C09A1"/>
    <w:rsid w:val="000C109D"/>
    <w:rsid w:val="000C1470"/>
    <w:rsid w:val="000C20D1"/>
    <w:rsid w:val="000C28CC"/>
    <w:rsid w:val="000C2C5C"/>
    <w:rsid w:val="000C3325"/>
    <w:rsid w:val="000C3C26"/>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4332"/>
    <w:rsid w:val="001147F0"/>
    <w:rsid w:val="00114CB2"/>
    <w:rsid w:val="00114FBA"/>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4FC1"/>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355"/>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56A"/>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28"/>
    <w:rsid w:val="00190638"/>
    <w:rsid w:val="00190E97"/>
    <w:rsid w:val="00190EBF"/>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2666"/>
    <w:rsid w:val="001B3272"/>
    <w:rsid w:val="001B4214"/>
    <w:rsid w:val="001B4E69"/>
    <w:rsid w:val="001B4F0A"/>
    <w:rsid w:val="001B69E1"/>
    <w:rsid w:val="001B6A38"/>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5DF4"/>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5868"/>
    <w:rsid w:val="00227476"/>
    <w:rsid w:val="00227C1A"/>
    <w:rsid w:val="0023092A"/>
    <w:rsid w:val="00231513"/>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A11"/>
    <w:rsid w:val="00245EBA"/>
    <w:rsid w:val="00246008"/>
    <w:rsid w:val="00246ACD"/>
    <w:rsid w:val="00247125"/>
    <w:rsid w:val="0024CC35"/>
    <w:rsid w:val="00250318"/>
    <w:rsid w:val="002505EF"/>
    <w:rsid w:val="002506EE"/>
    <w:rsid w:val="002506FA"/>
    <w:rsid w:val="002514A9"/>
    <w:rsid w:val="00251CD1"/>
    <w:rsid w:val="002527CE"/>
    <w:rsid w:val="00252AD8"/>
    <w:rsid w:val="002530AF"/>
    <w:rsid w:val="00253528"/>
    <w:rsid w:val="002538DF"/>
    <w:rsid w:val="00254335"/>
    <w:rsid w:val="0025461C"/>
    <w:rsid w:val="00254B63"/>
    <w:rsid w:val="0025570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49A"/>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103"/>
    <w:rsid w:val="00376B0B"/>
    <w:rsid w:val="00376C8E"/>
    <w:rsid w:val="00377123"/>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4E8C"/>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0297"/>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4BA0"/>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9C9"/>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3B23"/>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E9D"/>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79"/>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05B"/>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13C"/>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67908"/>
    <w:rsid w:val="00570113"/>
    <w:rsid w:val="00570169"/>
    <w:rsid w:val="005707D8"/>
    <w:rsid w:val="005717CB"/>
    <w:rsid w:val="00572334"/>
    <w:rsid w:val="0057234D"/>
    <w:rsid w:val="00572C7C"/>
    <w:rsid w:val="00573A1D"/>
    <w:rsid w:val="00574773"/>
    <w:rsid w:val="00574CA6"/>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6B"/>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3E"/>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556"/>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6FE4"/>
    <w:rsid w:val="00607170"/>
    <w:rsid w:val="00607287"/>
    <w:rsid w:val="006076E1"/>
    <w:rsid w:val="00607805"/>
    <w:rsid w:val="0060795B"/>
    <w:rsid w:val="00610451"/>
    <w:rsid w:val="006112CE"/>
    <w:rsid w:val="00611E4C"/>
    <w:rsid w:val="00611F09"/>
    <w:rsid w:val="006123AE"/>
    <w:rsid w:val="00612649"/>
    <w:rsid w:val="00612E2C"/>
    <w:rsid w:val="006130DE"/>
    <w:rsid w:val="00613303"/>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0E2"/>
    <w:rsid w:val="006601CF"/>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25"/>
    <w:rsid w:val="0068473E"/>
    <w:rsid w:val="00684A15"/>
    <w:rsid w:val="006855B6"/>
    <w:rsid w:val="00686754"/>
    <w:rsid w:val="006869AC"/>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D7"/>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125"/>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4D0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5F02"/>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787"/>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3F8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692"/>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106E"/>
    <w:rsid w:val="008310FD"/>
    <w:rsid w:val="0083222F"/>
    <w:rsid w:val="00832242"/>
    <w:rsid w:val="00832514"/>
    <w:rsid w:val="00832C15"/>
    <w:rsid w:val="00832D12"/>
    <w:rsid w:val="008330FC"/>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3403"/>
    <w:rsid w:val="00893520"/>
    <w:rsid w:val="00893C7F"/>
    <w:rsid w:val="00894CA4"/>
    <w:rsid w:val="008957EC"/>
    <w:rsid w:val="00895A25"/>
    <w:rsid w:val="00895DE7"/>
    <w:rsid w:val="00896352"/>
    <w:rsid w:val="008969E8"/>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090B"/>
    <w:rsid w:val="008B1955"/>
    <w:rsid w:val="008B20B0"/>
    <w:rsid w:val="008B230A"/>
    <w:rsid w:val="008B246E"/>
    <w:rsid w:val="008B27AA"/>
    <w:rsid w:val="008B2E6D"/>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7A4"/>
    <w:rsid w:val="008C3FA3"/>
    <w:rsid w:val="008C496E"/>
    <w:rsid w:val="008C49B2"/>
    <w:rsid w:val="008C4AB6"/>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6BF2"/>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595B"/>
    <w:rsid w:val="00906BC0"/>
    <w:rsid w:val="0090784A"/>
    <w:rsid w:val="00907C9D"/>
    <w:rsid w:val="00910149"/>
    <w:rsid w:val="00910571"/>
    <w:rsid w:val="0091063F"/>
    <w:rsid w:val="009110F6"/>
    <w:rsid w:val="00911100"/>
    <w:rsid w:val="00912DEC"/>
    <w:rsid w:val="009137E6"/>
    <w:rsid w:val="00913AF1"/>
    <w:rsid w:val="00913B16"/>
    <w:rsid w:val="00913F26"/>
    <w:rsid w:val="00914C02"/>
    <w:rsid w:val="00914C4F"/>
    <w:rsid w:val="00914F13"/>
    <w:rsid w:val="009154E4"/>
    <w:rsid w:val="0091573E"/>
    <w:rsid w:val="00915C98"/>
    <w:rsid w:val="0091620F"/>
    <w:rsid w:val="00916A23"/>
    <w:rsid w:val="00916E00"/>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BE8"/>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0EFC"/>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2BB"/>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4E1D"/>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9F8"/>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6EE"/>
    <w:rsid w:val="00A059C7"/>
    <w:rsid w:val="00A05FE4"/>
    <w:rsid w:val="00A062E6"/>
    <w:rsid w:val="00A10180"/>
    <w:rsid w:val="00A1019A"/>
    <w:rsid w:val="00A101C9"/>
    <w:rsid w:val="00A105B4"/>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4997"/>
    <w:rsid w:val="00A35113"/>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330"/>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28D"/>
    <w:rsid w:val="00AB7CD3"/>
    <w:rsid w:val="00AC032B"/>
    <w:rsid w:val="00AC096E"/>
    <w:rsid w:val="00AC1186"/>
    <w:rsid w:val="00AC1690"/>
    <w:rsid w:val="00AC1CE3"/>
    <w:rsid w:val="00AC23C9"/>
    <w:rsid w:val="00AC2C4E"/>
    <w:rsid w:val="00AC3421"/>
    <w:rsid w:val="00AC3602"/>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1973"/>
    <w:rsid w:val="00AF32FE"/>
    <w:rsid w:val="00AF3B01"/>
    <w:rsid w:val="00AF3D4B"/>
    <w:rsid w:val="00AF46F7"/>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705"/>
    <w:rsid w:val="00B231B3"/>
    <w:rsid w:val="00B24951"/>
    <w:rsid w:val="00B24CC4"/>
    <w:rsid w:val="00B255DD"/>
    <w:rsid w:val="00B25C43"/>
    <w:rsid w:val="00B25EFF"/>
    <w:rsid w:val="00B26588"/>
    <w:rsid w:val="00B27065"/>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7F9"/>
    <w:rsid w:val="00B928E7"/>
    <w:rsid w:val="00B92D13"/>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969"/>
    <w:rsid w:val="00BD5A3D"/>
    <w:rsid w:val="00BD6166"/>
    <w:rsid w:val="00BD657E"/>
    <w:rsid w:val="00BD70F6"/>
    <w:rsid w:val="00BD740C"/>
    <w:rsid w:val="00BE0023"/>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941"/>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77619"/>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3DD"/>
    <w:rsid w:val="00CA5676"/>
    <w:rsid w:val="00CA5AB7"/>
    <w:rsid w:val="00CA66EF"/>
    <w:rsid w:val="00CA763E"/>
    <w:rsid w:val="00CA7D75"/>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F71"/>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4E4"/>
    <w:rsid w:val="00D31517"/>
    <w:rsid w:val="00D3171F"/>
    <w:rsid w:val="00D31720"/>
    <w:rsid w:val="00D31867"/>
    <w:rsid w:val="00D31A45"/>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D72"/>
    <w:rsid w:val="00D454DB"/>
    <w:rsid w:val="00D455D1"/>
    <w:rsid w:val="00D4657B"/>
    <w:rsid w:val="00D467AE"/>
    <w:rsid w:val="00D46849"/>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0C8"/>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06CA"/>
    <w:rsid w:val="00D9148F"/>
    <w:rsid w:val="00D914EB"/>
    <w:rsid w:val="00D92759"/>
    <w:rsid w:val="00D9281D"/>
    <w:rsid w:val="00D9316E"/>
    <w:rsid w:val="00D931DF"/>
    <w:rsid w:val="00D94500"/>
    <w:rsid w:val="00D94790"/>
    <w:rsid w:val="00D94BF4"/>
    <w:rsid w:val="00D950EF"/>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43A1"/>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EDB"/>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259"/>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827"/>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977B2"/>
    <w:rsid w:val="00EA10CD"/>
    <w:rsid w:val="00EA1CE8"/>
    <w:rsid w:val="00EA218B"/>
    <w:rsid w:val="00EA25DA"/>
    <w:rsid w:val="00EA2D19"/>
    <w:rsid w:val="00EA39C0"/>
    <w:rsid w:val="00EA4C69"/>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72"/>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8D4"/>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860"/>
    <w:rsid w:val="00F01992"/>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3C5"/>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6C41"/>
    <w:rsid w:val="00FC73C4"/>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8F1E5D"/>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380FC"/>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BDE82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181CA02-7AEB-4A68-86BD-F973DF1E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autoRedefine/>
    <w:rsid w:val="00722125"/>
    <w:pPr>
      <w:spacing w:after="240"/>
      <w:ind w:left="431" w:hanging="431"/>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7">
    <w:name w:val="Table Grid7"/>
    <w:basedOn w:val="TableNormal"/>
    <w:next w:val="TableGrid"/>
    <w:uiPriority w:val="39"/>
    <w:rsid w:val="006869AC"/>
    <w:rPr>
      <w:rFonts w:ascii="Aptos" w:hAnsi="Aptos"/>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E2772"/>
    <w:rPr>
      <w:rFonts w:ascii="Aptos" w:hAnsi="Aptos"/>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2026-2088683862-64271</_dlc_DocId>
    <_dlc_DocIdUrl xmlns="6033a234-c704-4e9b-9e67-19f260df118c">
      <Url>https://llwrsite0.sharepoint.com/sites/-RWMProgrammeManagementOffice/_layouts/15/DocIdRedir.aspx?ID=2026-2088683862-64271</Url>
      <Description>2026-2088683862-64271</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D112A8D1-339C-4BC1-A198-F5C9418D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3</TotalTime>
  <Pages>8</Pages>
  <Words>1502</Words>
  <Characters>8564</Characters>
  <Application>Microsoft Office Word</Application>
  <DocSecurity>0</DocSecurity>
  <Lines>71</Lines>
  <Paragraphs>20</Paragraphs>
  <ScaleCrop>false</ScaleCrop>
  <Company>test</Company>
  <LinksUpToDate>false</LinksUpToDate>
  <CharactersWithSpaces>10046</CharactersWithSpaces>
  <SharedDoc>false</SharedDoc>
  <HLinks>
    <vt:vector size="54" baseType="variant">
      <vt:variant>
        <vt:i4>1507391</vt:i4>
      </vt:variant>
      <vt:variant>
        <vt:i4>53</vt:i4>
      </vt:variant>
      <vt:variant>
        <vt:i4>0</vt:i4>
      </vt:variant>
      <vt:variant>
        <vt:i4>5</vt:i4>
      </vt:variant>
      <vt:variant>
        <vt:lpwstr/>
      </vt:variant>
      <vt:variant>
        <vt:lpwstr>_Toc199854255</vt:lpwstr>
      </vt:variant>
      <vt:variant>
        <vt:i4>1507391</vt:i4>
      </vt:variant>
      <vt:variant>
        <vt:i4>47</vt:i4>
      </vt:variant>
      <vt:variant>
        <vt:i4>0</vt:i4>
      </vt:variant>
      <vt:variant>
        <vt:i4>5</vt:i4>
      </vt:variant>
      <vt:variant>
        <vt:lpwstr/>
      </vt:variant>
      <vt:variant>
        <vt:lpwstr>_Toc199854254</vt:lpwstr>
      </vt:variant>
      <vt:variant>
        <vt:i4>1048632</vt:i4>
      </vt:variant>
      <vt:variant>
        <vt:i4>38</vt:i4>
      </vt:variant>
      <vt:variant>
        <vt:i4>0</vt:i4>
      </vt:variant>
      <vt:variant>
        <vt:i4>5</vt:i4>
      </vt:variant>
      <vt:variant>
        <vt:lpwstr/>
      </vt:variant>
      <vt:variant>
        <vt:lpwstr>_Toc199854526</vt:lpwstr>
      </vt:variant>
      <vt:variant>
        <vt:i4>1048632</vt:i4>
      </vt:variant>
      <vt:variant>
        <vt:i4>32</vt:i4>
      </vt:variant>
      <vt:variant>
        <vt:i4>0</vt:i4>
      </vt:variant>
      <vt:variant>
        <vt:i4>5</vt:i4>
      </vt:variant>
      <vt:variant>
        <vt:lpwstr/>
      </vt:variant>
      <vt:variant>
        <vt:lpwstr>_Toc199854525</vt:lpwstr>
      </vt:variant>
      <vt:variant>
        <vt:i4>1048632</vt:i4>
      </vt:variant>
      <vt:variant>
        <vt:i4>26</vt:i4>
      </vt:variant>
      <vt:variant>
        <vt:i4>0</vt:i4>
      </vt:variant>
      <vt:variant>
        <vt:i4>5</vt:i4>
      </vt:variant>
      <vt:variant>
        <vt:lpwstr/>
      </vt:variant>
      <vt:variant>
        <vt:lpwstr>_Toc199854524</vt:lpwstr>
      </vt:variant>
      <vt:variant>
        <vt:i4>1048632</vt:i4>
      </vt:variant>
      <vt:variant>
        <vt:i4>20</vt:i4>
      </vt:variant>
      <vt:variant>
        <vt:i4>0</vt:i4>
      </vt:variant>
      <vt:variant>
        <vt:i4>5</vt:i4>
      </vt:variant>
      <vt:variant>
        <vt:lpwstr/>
      </vt:variant>
      <vt:variant>
        <vt:lpwstr>_Toc199854523</vt:lpwstr>
      </vt:variant>
      <vt:variant>
        <vt:i4>1048632</vt:i4>
      </vt:variant>
      <vt:variant>
        <vt:i4>14</vt:i4>
      </vt:variant>
      <vt:variant>
        <vt:i4>0</vt:i4>
      </vt:variant>
      <vt:variant>
        <vt:i4>5</vt:i4>
      </vt:variant>
      <vt:variant>
        <vt:lpwstr/>
      </vt:variant>
      <vt:variant>
        <vt:lpwstr>_Toc199854522</vt:lpwstr>
      </vt:variant>
      <vt:variant>
        <vt:i4>1048632</vt:i4>
      </vt:variant>
      <vt:variant>
        <vt:i4>8</vt:i4>
      </vt:variant>
      <vt:variant>
        <vt:i4>0</vt:i4>
      </vt:variant>
      <vt:variant>
        <vt:i4>5</vt:i4>
      </vt:variant>
      <vt:variant>
        <vt:lpwstr/>
      </vt:variant>
      <vt:variant>
        <vt:lpwstr>_Toc199854521</vt:lpwstr>
      </vt:variant>
      <vt:variant>
        <vt:i4>1048632</vt:i4>
      </vt:variant>
      <vt:variant>
        <vt:i4>2</vt:i4>
      </vt:variant>
      <vt:variant>
        <vt:i4>0</vt:i4>
      </vt:variant>
      <vt:variant>
        <vt:i4>5</vt:i4>
      </vt:variant>
      <vt:variant>
        <vt:lpwstr/>
      </vt:variant>
      <vt:variant>
        <vt:lpwstr>_Toc199854520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Palmer, Paul (NWS)</cp:lastModifiedBy>
  <cp:revision>5</cp:revision>
  <cp:lastPrinted>2025-09-19T15:53:00Z</cp:lastPrinted>
  <dcterms:created xsi:type="dcterms:W3CDTF">2025-09-19T15:51:00Z</dcterms:created>
  <dcterms:modified xsi:type="dcterms:W3CDTF">2025-09-19T15:53:00Z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bc6fcc4b-5594-47d4-a535-2047b7da354f</vt:lpwstr>
  </property>
  <property fmtid="{D5CDD505-2E9C-101B-9397-08002B2CF9AE}" pid="27" name="MediaServiceImageTags">
    <vt:lpwstr/>
  </property>
  <property fmtid="{D5CDD505-2E9C-101B-9397-08002B2CF9AE}" pid="28" name="ComplianceAssetId">
    <vt:lpwstr/>
  </property>
  <property fmtid="{D5CDD505-2E9C-101B-9397-08002B2CF9AE}" pid="29" name="_ExtendedDescription">
    <vt:lpwstr/>
  </property>
  <property fmtid="{D5CDD505-2E9C-101B-9397-08002B2CF9AE}" pid="30" name="TriggerFlowInfo">
    <vt:lpwstr/>
  </property>
</Properties>
</file>