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2F817E2B" w14:textId="77777777" w:rsidR="00356E4A" w:rsidRDefault="00356E4A" w:rsidP="0005623F">
      <w:pPr>
        <w:pStyle w:val="Title1"/>
        <w:rPr>
          <w:rFonts w:eastAsia="Arial"/>
        </w:rPr>
      </w:pPr>
    </w:p>
    <w:bookmarkEnd w:id="1"/>
    <w:p w14:paraId="619503E8" w14:textId="66B89136" w:rsidR="00A0258B" w:rsidRPr="00BB6896" w:rsidRDefault="003D5626" w:rsidP="00BB6896">
      <w:pPr>
        <w:pStyle w:val="Title1"/>
        <w:rPr>
          <w:rFonts w:eastAsia="Arial"/>
        </w:rPr>
      </w:pPr>
      <w:r w:rsidRPr="003D5626">
        <w:rPr>
          <w:rFonts w:eastAsia="Arial"/>
        </w:rPr>
        <w:t>Pricing Approach</w:t>
      </w:r>
      <w:r w:rsidR="00356E4A">
        <w:rPr>
          <w:rFonts w:eastAsia="Arial"/>
        </w:rPr>
        <w:t xml:space="preserve"> - </w:t>
      </w:r>
      <w:r w:rsidRPr="003D5626">
        <w:rPr>
          <w:rFonts w:eastAsia="Arial"/>
        </w:rPr>
        <w:t>Summary for the Market</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77777777" w:rsidR="00D965AD" w:rsidRPr="00CD5021" w:rsidRDefault="00D965AD" w:rsidP="00CD5021">
      <w:pPr>
        <w:pStyle w:val="Title1"/>
        <w:rPr>
          <w:rFonts w:eastAsia="Arial"/>
        </w:rPr>
      </w:pPr>
    </w:p>
    <w:p w14:paraId="21D3C5AC" w14:textId="77777777" w:rsidR="00D965AD" w:rsidRPr="0052454A" w:rsidRDefault="0052454A" w:rsidP="00BB6896">
      <w:pPr>
        <w:pStyle w:val="Title1"/>
        <w:rPr>
          <w:sz w:val="52"/>
          <w:szCs w:val="18"/>
        </w:rPr>
      </w:pPr>
      <w:r w:rsidRPr="0052454A">
        <w:rPr>
          <w:sz w:val="52"/>
          <w:szCs w:val="18"/>
        </w:rPr>
        <w:t>GDF-NWS-SCDP-AXX-CC-CS-000017</w:t>
      </w:r>
    </w:p>
    <w:p w14:paraId="28510D65" w14:textId="77777777" w:rsidR="0052454A" w:rsidRDefault="0052454A" w:rsidP="00BB6896">
      <w:pPr>
        <w:pStyle w:val="Title1"/>
      </w:pPr>
    </w:p>
    <w:p w14:paraId="212D40F2" w14:textId="3C52C874" w:rsidR="0052454A" w:rsidRPr="0096755E" w:rsidRDefault="0052454A" w:rsidP="00BB6896">
      <w:pPr>
        <w:pStyle w:val="Title1"/>
        <w:sectPr w:rsidR="0052454A"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38"/>
        <w:gridCol w:w="2356"/>
        <w:gridCol w:w="2526"/>
        <w:gridCol w:w="2341"/>
      </w:tblGrid>
      <w:tr w:rsidR="00115702" w:rsidRPr="00BE5982" w14:paraId="00174D51" w14:textId="77777777" w:rsidTr="00115702">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A71E16" w:rsidRPr="00BE5982" w14:paraId="6073C3EF" w14:textId="77777777" w:rsidTr="00115702">
        <w:tc>
          <w:tcPr>
            <w:tcW w:w="2391" w:type="dxa"/>
            <w:vAlign w:val="center"/>
          </w:tcPr>
          <w:p w14:paraId="436D5E57" w14:textId="77777777" w:rsidR="00A71E16" w:rsidRDefault="00A71E16" w:rsidP="00A71E16">
            <w:pPr>
              <w:pStyle w:val="TableText1"/>
            </w:pPr>
            <w:r w:rsidRPr="00075756">
              <w:t>Originator</w:t>
            </w:r>
            <w:r>
              <w:t>:</w:t>
            </w:r>
          </w:p>
          <w:p w14:paraId="18FDC796" w14:textId="0485810F" w:rsidR="00A71E16" w:rsidRPr="00075756" w:rsidRDefault="00447E31" w:rsidP="00A71E16">
            <w:pPr>
              <w:pStyle w:val="TableText1"/>
            </w:pPr>
            <w:r>
              <w:t>Tony Potts</w:t>
            </w:r>
          </w:p>
        </w:tc>
        <w:tc>
          <w:tcPr>
            <w:tcW w:w="2390" w:type="dxa"/>
            <w:vAlign w:val="center"/>
          </w:tcPr>
          <w:p w14:paraId="5ADE90F2" w14:textId="29F7BF65" w:rsidR="00A71E16" w:rsidRPr="00075756" w:rsidRDefault="008E41EC" w:rsidP="00A71E16">
            <w:pPr>
              <w:pStyle w:val="TableText1"/>
            </w:pPr>
            <w:r w:rsidRPr="008E41EC">
              <w:t>Senior Business Partner (Procurement)</w:t>
            </w:r>
          </w:p>
        </w:tc>
        <w:tc>
          <w:tcPr>
            <w:tcW w:w="2390" w:type="dxa"/>
            <w:vAlign w:val="center"/>
          </w:tcPr>
          <w:p w14:paraId="276B780A" w14:textId="001EA2E2" w:rsidR="00A71E16" w:rsidRPr="00075756" w:rsidRDefault="0055702E" w:rsidP="00A71E16">
            <w:pPr>
              <w:pStyle w:val="TableText1"/>
            </w:pPr>
            <w:r>
              <w:rPr>
                <w:noProof/>
                <w:lang w:eastAsia="en-GB"/>
              </w:rPr>
              <w:drawing>
                <wp:inline distT="0" distB="0" distL="0" distR="0" wp14:anchorId="325B752B" wp14:editId="79AACDE2">
                  <wp:extent cx="1464129" cy="410139"/>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4020" cy="410108"/>
                          </a:xfrm>
                          <a:prstGeom prst="rect">
                            <a:avLst/>
                          </a:prstGeom>
                          <a:noFill/>
                          <a:ln>
                            <a:noFill/>
                          </a:ln>
                        </pic:spPr>
                      </pic:pic>
                    </a:graphicData>
                  </a:graphic>
                </wp:inline>
              </w:drawing>
            </w:r>
          </w:p>
        </w:tc>
        <w:tc>
          <w:tcPr>
            <w:tcW w:w="2390" w:type="dxa"/>
            <w:vAlign w:val="center"/>
          </w:tcPr>
          <w:p w14:paraId="60E8DD04" w14:textId="79A753C4" w:rsidR="00A71E16" w:rsidRPr="00075756" w:rsidRDefault="00B17802" w:rsidP="00A71E16">
            <w:pPr>
              <w:pStyle w:val="TableText1"/>
            </w:pPr>
            <w:r>
              <w:t>1</w:t>
            </w:r>
            <w:r w:rsidR="00524A15">
              <w:t>9</w:t>
            </w:r>
            <w:r>
              <w:t>/6/25</w:t>
            </w:r>
          </w:p>
        </w:tc>
      </w:tr>
      <w:tr w:rsidR="00A71E16" w:rsidRPr="00BE5982" w14:paraId="058102E6" w14:textId="77777777" w:rsidTr="00115702">
        <w:tc>
          <w:tcPr>
            <w:tcW w:w="2391" w:type="dxa"/>
            <w:vAlign w:val="center"/>
          </w:tcPr>
          <w:p w14:paraId="021B4B43" w14:textId="77777777" w:rsidR="00A71E16" w:rsidRDefault="00A71E16" w:rsidP="00A71E16">
            <w:pPr>
              <w:pStyle w:val="TableText1"/>
            </w:pPr>
            <w:r w:rsidRPr="00075756">
              <w:t>Reviewer</w:t>
            </w:r>
            <w:r>
              <w:t>:</w:t>
            </w:r>
          </w:p>
          <w:p w14:paraId="54308DBA" w14:textId="0EE972D4" w:rsidR="00A71E16" w:rsidRPr="00075756" w:rsidRDefault="00447E31" w:rsidP="00A71E16">
            <w:pPr>
              <w:pStyle w:val="TableText1"/>
            </w:pPr>
            <w:r>
              <w:t>Andrew Batstone</w:t>
            </w:r>
          </w:p>
        </w:tc>
        <w:tc>
          <w:tcPr>
            <w:tcW w:w="2390" w:type="dxa"/>
            <w:vAlign w:val="center"/>
          </w:tcPr>
          <w:p w14:paraId="65B9F39B" w14:textId="24A0F2E0" w:rsidR="00A71E16" w:rsidRPr="00075756" w:rsidRDefault="009F05A8" w:rsidP="00A71E16">
            <w:pPr>
              <w:pStyle w:val="TableText1"/>
            </w:pPr>
            <w:r w:rsidRPr="009F05A8">
              <w:t>Commercial Strategy Lead (Infrastructure)</w:t>
            </w:r>
          </w:p>
        </w:tc>
        <w:tc>
          <w:tcPr>
            <w:tcW w:w="2390" w:type="dxa"/>
            <w:vAlign w:val="center"/>
          </w:tcPr>
          <w:p w14:paraId="29C375C0" w14:textId="6DDFA74A" w:rsidR="00A71E16" w:rsidRPr="00075756" w:rsidRDefault="006726F6" w:rsidP="00A71E16">
            <w:pPr>
              <w:pStyle w:val="TableText1"/>
            </w:pPr>
            <w:r>
              <w:rPr>
                <w:noProof/>
              </w:rPr>
              <w:drawing>
                <wp:inline distT="0" distB="0" distL="0" distR="0" wp14:anchorId="3821BEAD" wp14:editId="5A3C5B59">
                  <wp:extent cx="847970" cy="715718"/>
                  <wp:effectExtent l="0" t="0" r="9525" b="8255"/>
                  <wp:docPr id="29086185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61852" name="Picture 1" descr="A close-up of a signatur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3841" cy="720673"/>
                          </a:xfrm>
                          <a:prstGeom prst="rect">
                            <a:avLst/>
                          </a:prstGeom>
                        </pic:spPr>
                      </pic:pic>
                    </a:graphicData>
                  </a:graphic>
                </wp:inline>
              </w:drawing>
            </w:r>
          </w:p>
        </w:tc>
        <w:tc>
          <w:tcPr>
            <w:tcW w:w="2390" w:type="dxa"/>
            <w:vAlign w:val="center"/>
          </w:tcPr>
          <w:p w14:paraId="4A890491" w14:textId="6D771D31" w:rsidR="00A71E16" w:rsidRPr="00075756" w:rsidRDefault="006726F6" w:rsidP="00A71E16">
            <w:pPr>
              <w:pStyle w:val="TableText1"/>
            </w:pPr>
            <w:r>
              <w:t>27/06/2025</w:t>
            </w:r>
          </w:p>
        </w:tc>
      </w:tr>
      <w:tr w:rsidR="00A71E16" w:rsidRPr="00BE5982" w14:paraId="4FD42D39" w14:textId="77777777" w:rsidTr="00115702">
        <w:tc>
          <w:tcPr>
            <w:tcW w:w="2391" w:type="dxa"/>
            <w:vAlign w:val="center"/>
          </w:tcPr>
          <w:p w14:paraId="1F44254F" w14:textId="77777777" w:rsidR="00A71E16" w:rsidRDefault="00A71E16" w:rsidP="00A71E16">
            <w:pPr>
              <w:pStyle w:val="TableText1"/>
            </w:pPr>
            <w:r w:rsidRPr="00075756">
              <w:t>Approval</w:t>
            </w:r>
            <w:r>
              <w:t>:</w:t>
            </w:r>
          </w:p>
          <w:p w14:paraId="4158EB53" w14:textId="32D91A60" w:rsidR="00A71E16" w:rsidRPr="00075756" w:rsidRDefault="00A71E16" w:rsidP="00A71E16">
            <w:pPr>
              <w:pStyle w:val="TableText1"/>
            </w:pPr>
            <w:r>
              <w:t>TBD</w:t>
            </w:r>
          </w:p>
        </w:tc>
        <w:tc>
          <w:tcPr>
            <w:tcW w:w="2390" w:type="dxa"/>
            <w:vAlign w:val="center"/>
          </w:tcPr>
          <w:p w14:paraId="0B48AAB8" w14:textId="1236F1E3" w:rsidR="00A71E16" w:rsidRPr="00075756" w:rsidRDefault="00A71E16" w:rsidP="00A71E16">
            <w:pPr>
              <w:pStyle w:val="TableText1"/>
            </w:pPr>
            <w:r>
              <w:t>GDF Programme Manager - Enabling</w:t>
            </w:r>
            <w:r w:rsidRPr="00075756">
              <w:t xml:space="preserve"> </w:t>
            </w:r>
          </w:p>
        </w:tc>
        <w:tc>
          <w:tcPr>
            <w:tcW w:w="2390" w:type="dxa"/>
            <w:vAlign w:val="center"/>
          </w:tcPr>
          <w:p w14:paraId="7DCA06F8" w14:textId="5C3A9280" w:rsidR="00A71E16" w:rsidRPr="00075756" w:rsidRDefault="00A71E16" w:rsidP="00A71E16">
            <w:pPr>
              <w:pStyle w:val="TableText1"/>
            </w:pPr>
          </w:p>
        </w:tc>
        <w:tc>
          <w:tcPr>
            <w:tcW w:w="2390" w:type="dxa"/>
            <w:vAlign w:val="center"/>
          </w:tcPr>
          <w:p w14:paraId="4A7A45CA" w14:textId="7791FFBE" w:rsidR="00A71E16" w:rsidRPr="00075756" w:rsidRDefault="00A71E16" w:rsidP="00A71E16">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234575B3" w:rsidR="007A06CD" w:rsidRPr="009719FF" w:rsidRDefault="005707D8" w:rsidP="008839DF">
            <w:pPr>
              <w:rPr>
                <w:b/>
              </w:rPr>
            </w:pPr>
            <w:r>
              <w:t>0</w:t>
            </w:r>
            <w:r w:rsidR="00524A15">
              <w:t>.</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AC1124B" w:rsidR="00793905" w:rsidRPr="00610451" w:rsidRDefault="005707D8" w:rsidP="008839DF">
            <w:r w:rsidRPr="00610451">
              <w:t>0</w:t>
            </w:r>
            <w:r w:rsidR="00524A15">
              <w:t>.</w:t>
            </w:r>
            <w:r w:rsidRPr="00610451">
              <w:t>2</w:t>
            </w:r>
          </w:p>
        </w:tc>
        <w:tc>
          <w:tcPr>
            <w:tcW w:w="2402" w:type="dxa"/>
            <w:vAlign w:val="center"/>
          </w:tcPr>
          <w:p w14:paraId="06855D45" w14:textId="7902C2D9" w:rsidR="00793905" w:rsidRPr="009719FF" w:rsidRDefault="00524A15" w:rsidP="008839DF">
            <w:r>
              <w:t>Incorporating AB comments</w:t>
            </w:r>
          </w:p>
        </w:tc>
        <w:tc>
          <w:tcPr>
            <w:tcW w:w="2387" w:type="dxa"/>
            <w:vAlign w:val="center"/>
          </w:tcPr>
          <w:p w14:paraId="4557C6BB" w14:textId="3921A029" w:rsidR="00793905" w:rsidRPr="009719FF" w:rsidRDefault="000436FF" w:rsidP="008839DF">
            <w:r>
              <w:t>A Potts</w:t>
            </w:r>
          </w:p>
        </w:tc>
        <w:tc>
          <w:tcPr>
            <w:tcW w:w="2393" w:type="dxa"/>
            <w:vAlign w:val="center"/>
          </w:tcPr>
          <w:p w14:paraId="536FC348" w14:textId="305FDE36" w:rsidR="00793905" w:rsidRPr="009719FF" w:rsidRDefault="000436FF" w:rsidP="008839DF">
            <w:r>
              <w:t>19/06/25</w:t>
            </w:r>
          </w:p>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205CD61C" w14:textId="1B9922B1" w:rsidR="00185878" w:rsidRDefault="00775C9A">
      <w:pPr>
        <w:spacing w:before="0"/>
      </w:pPr>
      <w:r w:rsidRPr="530CE626">
        <w:rPr>
          <w:i/>
          <w:iCs/>
        </w:rPr>
        <w:t>Note: Within this document, the term “Con</w:t>
      </w:r>
      <w:r w:rsidR="00EB0129" w:rsidRPr="530CE626">
        <w:rPr>
          <w:i/>
          <w:iCs/>
        </w:rPr>
        <w:t>sultant</w:t>
      </w:r>
      <w:r w:rsidRPr="530CE626">
        <w:rPr>
          <w:i/>
          <w:iCs/>
        </w:rPr>
        <w:t>” applies to companies or individuals working in the capacity of consultant, contractor or supplier for the Site Characterisation Delivery (SCDP). The term “Client” shall be read to mean “Nuclear Waste Services” and “NWS”.</w:t>
      </w: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bCs/>
          <w:szCs w:val="22"/>
        </w:rPr>
      </w:sdtEndPr>
      <w:sdtContent>
        <w:p w14:paraId="3740A5D5" w14:textId="6A258972" w:rsidR="00F02DD6" w:rsidRPr="00836D85" w:rsidRDefault="00F02DD6">
          <w:pPr>
            <w:pStyle w:val="TOCHeading"/>
            <w:rPr>
              <w:rFonts w:ascii="Arial" w:hAnsi="Arial" w:cs="Arial"/>
              <w:b/>
              <w:bCs/>
              <w:color w:val="auto"/>
            </w:rPr>
          </w:pPr>
          <w:r w:rsidRPr="00836D85">
            <w:rPr>
              <w:rFonts w:ascii="Arial" w:hAnsi="Arial" w:cs="Arial"/>
              <w:b/>
              <w:bCs/>
              <w:color w:val="auto"/>
            </w:rPr>
            <w:t>Contents</w:t>
          </w:r>
        </w:p>
        <w:p w14:paraId="70D0913C" w14:textId="4949BBF0" w:rsidR="004C3B47" w:rsidRDefault="00F02DD6">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200464087" w:history="1">
            <w:r w:rsidR="004C3B47" w:rsidRPr="0016766D">
              <w:rPr>
                <w:rStyle w:val="Hyperlink"/>
                <w:iCs/>
                <w:noProof/>
              </w:rPr>
              <w:t>1</w:t>
            </w:r>
            <w:r w:rsidR="004C3B47">
              <w:rPr>
                <w:rFonts w:asciiTheme="minorHAnsi" w:eastAsiaTheme="minorEastAsia" w:hAnsiTheme="minorHAnsi" w:cstheme="minorBidi"/>
                <w:noProof/>
                <w:kern w:val="2"/>
                <w:sz w:val="24"/>
                <w:lang w:eastAsia="en-GB"/>
                <w14:ligatures w14:val="standardContextual"/>
              </w:rPr>
              <w:tab/>
            </w:r>
            <w:r w:rsidR="004C3B47" w:rsidRPr="0016766D">
              <w:rPr>
                <w:rStyle w:val="Hyperlink"/>
                <w:noProof/>
              </w:rPr>
              <w:t>Purpose</w:t>
            </w:r>
            <w:r w:rsidR="004C3B47">
              <w:rPr>
                <w:noProof/>
                <w:webHidden/>
              </w:rPr>
              <w:tab/>
            </w:r>
            <w:r w:rsidR="004C3B47">
              <w:rPr>
                <w:noProof/>
                <w:webHidden/>
              </w:rPr>
              <w:fldChar w:fldCharType="begin"/>
            </w:r>
            <w:r w:rsidR="004C3B47">
              <w:rPr>
                <w:noProof/>
                <w:webHidden/>
              </w:rPr>
              <w:instrText xml:space="preserve"> PAGEREF _Toc200464087 \h </w:instrText>
            </w:r>
            <w:r w:rsidR="004C3B47">
              <w:rPr>
                <w:noProof/>
                <w:webHidden/>
              </w:rPr>
            </w:r>
            <w:r w:rsidR="004C3B47">
              <w:rPr>
                <w:noProof/>
                <w:webHidden/>
              </w:rPr>
              <w:fldChar w:fldCharType="separate"/>
            </w:r>
            <w:r w:rsidR="00FD481D">
              <w:rPr>
                <w:noProof/>
                <w:webHidden/>
              </w:rPr>
              <w:t>6</w:t>
            </w:r>
            <w:r w:rsidR="004C3B47">
              <w:rPr>
                <w:noProof/>
                <w:webHidden/>
              </w:rPr>
              <w:fldChar w:fldCharType="end"/>
            </w:r>
          </w:hyperlink>
        </w:p>
        <w:p w14:paraId="0C60A5C2" w14:textId="3C2402CC" w:rsidR="004C3B47" w:rsidRDefault="004C3B47">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00464088" w:history="1">
            <w:r w:rsidRPr="0016766D">
              <w:rPr>
                <w:rStyle w:val="Hyperlink"/>
                <w:iCs/>
                <w:noProof/>
              </w:rPr>
              <w:t>2</w:t>
            </w:r>
            <w:r>
              <w:rPr>
                <w:rFonts w:asciiTheme="minorHAnsi" w:eastAsiaTheme="minorEastAsia" w:hAnsiTheme="minorHAnsi" w:cstheme="minorBidi"/>
                <w:noProof/>
                <w:kern w:val="2"/>
                <w:sz w:val="24"/>
                <w:lang w:eastAsia="en-GB"/>
                <w14:ligatures w14:val="standardContextual"/>
              </w:rPr>
              <w:tab/>
            </w:r>
            <w:r w:rsidRPr="0016766D">
              <w:rPr>
                <w:rStyle w:val="Hyperlink"/>
                <w:noProof/>
              </w:rPr>
              <w:t>Pricing – Cost Re-imbursement and Target Cost</w:t>
            </w:r>
            <w:r>
              <w:rPr>
                <w:noProof/>
                <w:webHidden/>
              </w:rPr>
              <w:tab/>
            </w:r>
            <w:r>
              <w:rPr>
                <w:noProof/>
                <w:webHidden/>
              </w:rPr>
              <w:fldChar w:fldCharType="begin"/>
            </w:r>
            <w:r>
              <w:rPr>
                <w:noProof/>
                <w:webHidden/>
              </w:rPr>
              <w:instrText xml:space="preserve"> PAGEREF _Toc200464088 \h </w:instrText>
            </w:r>
            <w:r>
              <w:rPr>
                <w:noProof/>
                <w:webHidden/>
              </w:rPr>
            </w:r>
            <w:r>
              <w:rPr>
                <w:noProof/>
                <w:webHidden/>
              </w:rPr>
              <w:fldChar w:fldCharType="separate"/>
            </w:r>
            <w:r w:rsidR="00FD481D">
              <w:rPr>
                <w:noProof/>
                <w:webHidden/>
              </w:rPr>
              <w:t>7</w:t>
            </w:r>
            <w:r>
              <w:rPr>
                <w:noProof/>
                <w:webHidden/>
              </w:rPr>
              <w:fldChar w:fldCharType="end"/>
            </w:r>
          </w:hyperlink>
        </w:p>
        <w:p w14:paraId="72C3B9CC" w14:textId="38D4DEB9" w:rsidR="004C3B47" w:rsidRDefault="004C3B47">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0464089" w:history="1">
            <w:r w:rsidRPr="0016766D">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lang w:eastAsia="en-GB"/>
                <w14:ligatures w14:val="standardContextual"/>
              </w:rPr>
              <w:tab/>
            </w:r>
            <w:r w:rsidRPr="0016766D">
              <w:rPr>
                <w:rStyle w:val="Hyperlink"/>
                <w:noProof/>
              </w:rPr>
              <w:t>Pricing of Task Orders</w:t>
            </w:r>
            <w:r>
              <w:rPr>
                <w:noProof/>
                <w:webHidden/>
              </w:rPr>
              <w:tab/>
            </w:r>
            <w:r>
              <w:rPr>
                <w:noProof/>
                <w:webHidden/>
              </w:rPr>
              <w:fldChar w:fldCharType="begin"/>
            </w:r>
            <w:r>
              <w:rPr>
                <w:noProof/>
                <w:webHidden/>
              </w:rPr>
              <w:instrText xml:space="preserve"> PAGEREF _Toc200464089 \h </w:instrText>
            </w:r>
            <w:r>
              <w:rPr>
                <w:noProof/>
                <w:webHidden/>
              </w:rPr>
            </w:r>
            <w:r>
              <w:rPr>
                <w:noProof/>
                <w:webHidden/>
              </w:rPr>
              <w:fldChar w:fldCharType="separate"/>
            </w:r>
            <w:r w:rsidR="00FD481D">
              <w:rPr>
                <w:noProof/>
                <w:webHidden/>
              </w:rPr>
              <w:t>7</w:t>
            </w:r>
            <w:r>
              <w:rPr>
                <w:noProof/>
                <w:webHidden/>
              </w:rPr>
              <w:fldChar w:fldCharType="end"/>
            </w:r>
          </w:hyperlink>
        </w:p>
        <w:p w14:paraId="59BBBB66" w14:textId="68A347A6" w:rsidR="004C3B47" w:rsidRDefault="004C3B47">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0464090" w:history="1">
            <w:r w:rsidRPr="0016766D">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lang w:eastAsia="en-GB"/>
                <w14:ligatures w14:val="standardContextual"/>
              </w:rPr>
              <w:tab/>
            </w:r>
            <w:r w:rsidRPr="0016766D">
              <w:rPr>
                <w:rStyle w:val="Hyperlink"/>
                <w:noProof/>
              </w:rPr>
              <w:t>Consultant’s Direct Employees</w:t>
            </w:r>
            <w:r>
              <w:rPr>
                <w:noProof/>
                <w:webHidden/>
              </w:rPr>
              <w:tab/>
            </w:r>
            <w:r>
              <w:rPr>
                <w:noProof/>
                <w:webHidden/>
              </w:rPr>
              <w:fldChar w:fldCharType="begin"/>
            </w:r>
            <w:r>
              <w:rPr>
                <w:noProof/>
                <w:webHidden/>
              </w:rPr>
              <w:instrText xml:space="preserve"> PAGEREF _Toc200464090 \h </w:instrText>
            </w:r>
            <w:r>
              <w:rPr>
                <w:noProof/>
                <w:webHidden/>
              </w:rPr>
            </w:r>
            <w:r>
              <w:rPr>
                <w:noProof/>
                <w:webHidden/>
              </w:rPr>
              <w:fldChar w:fldCharType="separate"/>
            </w:r>
            <w:r w:rsidR="00FD481D">
              <w:rPr>
                <w:noProof/>
                <w:webHidden/>
              </w:rPr>
              <w:t>7</w:t>
            </w:r>
            <w:r>
              <w:rPr>
                <w:noProof/>
                <w:webHidden/>
              </w:rPr>
              <w:fldChar w:fldCharType="end"/>
            </w:r>
          </w:hyperlink>
        </w:p>
        <w:p w14:paraId="12110E4D" w14:textId="41144AAE" w:rsidR="004C3B47" w:rsidRDefault="004C3B47">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0464091" w:history="1">
            <w:r w:rsidRPr="0016766D">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lang w:eastAsia="en-GB"/>
                <w14:ligatures w14:val="standardContextual"/>
              </w:rPr>
              <w:tab/>
            </w:r>
            <w:r w:rsidRPr="0016766D">
              <w:rPr>
                <w:rStyle w:val="Hyperlink"/>
                <w:noProof/>
              </w:rPr>
              <w:t>Named Sub-contractor personnel</w:t>
            </w:r>
            <w:r>
              <w:rPr>
                <w:noProof/>
                <w:webHidden/>
              </w:rPr>
              <w:tab/>
            </w:r>
            <w:r>
              <w:rPr>
                <w:noProof/>
                <w:webHidden/>
              </w:rPr>
              <w:fldChar w:fldCharType="begin"/>
            </w:r>
            <w:r>
              <w:rPr>
                <w:noProof/>
                <w:webHidden/>
              </w:rPr>
              <w:instrText xml:space="preserve"> PAGEREF _Toc200464091 \h </w:instrText>
            </w:r>
            <w:r>
              <w:rPr>
                <w:noProof/>
                <w:webHidden/>
              </w:rPr>
            </w:r>
            <w:r>
              <w:rPr>
                <w:noProof/>
                <w:webHidden/>
              </w:rPr>
              <w:fldChar w:fldCharType="separate"/>
            </w:r>
            <w:r w:rsidR="00FD481D">
              <w:rPr>
                <w:noProof/>
                <w:webHidden/>
              </w:rPr>
              <w:t>8</w:t>
            </w:r>
            <w:r>
              <w:rPr>
                <w:noProof/>
                <w:webHidden/>
              </w:rPr>
              <w:fldChar w:fldCharType="end"/>
            </w:r>
          </w:hyperlink>
        </w:p>
        <w:p w14:paraId="335E5612" w14:textId="066194E2" w:rsidR="004C3B47" w:rsidRDefault="004C3B47">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0464092" w:history="1">
            <w:r w:rsidRPr="0016766D">
              <w:rPr>
                <w:rStyle w:val="Hyperlink"/>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lang w:eastAsia="en-GB"/>
                <w14:ligatures w14:val="standardContextual"/>
              </w:rPr>
              <w:tab/>
            </w:r>
            <w:r w:rsidRPr="0016766D">
              <w:rPr>
                <w:rStyle w:val="Hyperlink"/>
                <w:noProof/>
              </w:rPr>
              <w:t>Expenses</w:t>
            </w:r>
            <w:r>
              <w:rPr>
                <w:noProof/>
                <w:webHidden/>
              </w:rPr>
              <w:tab/>
            </w:r>
            <w:r>
              <w:rPr>
                <w:noProof/>
                <w:webHidden/>
              </w:rPr>
              <w:fldChar w:fldCharType="begin"/>
            </w:r>
            <w:r>
              <w:rPr>
                <w:noProof/>
                <w:webHidden/>
              </w:rPr>
              <w:instrText xml:space="preserve"> PAGEREF _Toc200464092 \h </w:instrText>
            </w:r>
            <w:r>
              <w:rPr>
                <w:noProof/>
                <w:webHidden/>
              </w:rPr>
            </w:r>
            <w:r>
              <w:rPr>
                <w:noProof/>
                <w:webHidden/>
              </w:rPr>
              <w:fldChar w:fldCharType="separate"/>
            </w:r>
            <w:r w:rsidR="00FD481D">
              <w:rPr>
                <w:noProof/>
                <w:webHidden/>
              </w:rPr>
              <w:t>8</w:t>
            </w:r>
            <w:r>
              <w:rPr>
                <w:noProof/>
                <w:webHidden/>
              </w:rPr>
              <w:fldChar w:fldCharType="end"/>
            </w:r>
          </w:hyperlink>
        </w:p>
        <w:p w14:paraId="4518CFEC" w14:textId="6038009F" w:rsidR="004C3B47" w:rsidRDefault="004C3B47">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0464093" w:history="1">
            <w:r w:rsidRPr="0016766D">
              <w:rPr>
                <w:rStyle w:val="Hyperlink"/>
                <w:noProof/>
                <w14:scene3d>
                  <w14:camera w14:prst="orthographicFront"/>
                  <w14:lightRig w14:rig="threePt" w14:dir="t">
                    <w14:rot w14:lat="0" w14:lon="0" w14:rev="0"/>
                  </w14:lightRig>
                </w14:scene3d>
              </w:rPr>
              <w:t>2.5</w:t>
            </w:r>
            <w:r>
              <w:rPr>
                <w:rFonts w:asciiTheme="minorHAnsi" w:eastAsiaTheme="minorEastAsia" w:hAnsiTheme="minorHAnsi" w:cstheme="minorBidi"/>
                <w:noProof/>
                <w:kern w:val="2"/>
                <w:sz w:val="24"/>
                <w:lang w:eastAsia="en-GB"/>
                <w14:ligatures w14:val="standardContextual"/>
              </w:rPr>
              <w:tab/>
            </w:r>
            <w:r w:rsidRPr="0016766D">
              <w:rPr>
                <w:rStyle w:val="Hyperlink"/>
                <w:noProof/>
              </w:rPr>
              <w:t>Pricing Submission – Evaluation Model</w:t>
            </w:r>
            <w:r>
              <w:rPr>
                <w:noProof/>
                <w:webHidden/>
              </w:rPr>
              <w:tab/>
            </w:r>
            <w:r>
              <w:rPr>
                <w:noProof/>
                <w:webHidden/>
              </w:rPr>
              <w:fldChar w:fldCharType="begin"/>
            </w:r>
            <w:r>
              <w:rPr>
                <w:noProof/>
                <w:webHidden/>
              </w:rPr>
              <w:instrText xml:space="preserve"> PAGEREF _Toc200464093 \h </w:instrText>
            </w:r>
            <w:r>
              <w:rPr>
                <w:noProof/>
                <w:webHidden/>
              </w:rPr>
            </w:r>
            <w:r>
              <w:rPr>
                <w:noProof/>
                <w:webHidden/>
              </w:rPr>
              <w:fldChar w:fldCharType="separate"/>
            </w:r>
            <w:r w:rsidR="00FD481D">
              <w:rPr>
                <w:noProof/>
                <w:webHidden/>
              </w:rPr>
              <w:t>8</w:t>
            </w:r>
            <w:r>
              <w:rPr>
                <w:noProof/>
                <w:webHidden/>
              </w:rPr>
              <w:fldChar w:fldCharType="end"/>
            </w:r>
          </w:hyperlink>
        </w:p>
        <w:p w14:paraId="63ED7357" w14:textId="5058995F" w:rsidR="004C3B47" w:rsidRDefault="004C3B47">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0464094" w:history="1">
            <w:r w:rsidRPr="0016766D">
              <w:rPr>
                <w:rStyle w:val="Hyperlink"/>
                <w:noProof/>
                <w14:scene3d>
                  <w14:camera w14:prst="orthographicFront"/>
                  <w14:lightRig w14:rig="threePt" w14:dir="t">
                    <w14:rot w14:lat="0" w14:lon="0" w14:rev="0"/>
                  </w14:lightRig>
                </w14:scene3d>
              </w:rPr>
              <w:t>2.6</w:t>
            </w:r>
            <w:r>
              <w:rPr>
                <w:rFonts w:asciiTheme="minorHAnsi" w:eastAsiaTheme="minorEastAsia" w:hAnsiTheme="minorHAnsi" w:cstheme="minorBidi"/>
                <w:noProof/>
                <w:kern w:val="2"/>
                <w:sz w:val="24"/>
                <w:lang w:eastAsia="en-GB"/>
                <w14:ligatures w14:val="standardContextual"/>
              </w:rPr>
              <w:tab/>
            </w:r>
            <w:r w:rsidRPr="0016766D">
              <w:rPr>
                <w:rStyle w:val="Hyperlink"/>
                <w:noProof/>
              </w:rPr>
              <w:t>Task Order 0 &amp; 1 Price</w:t>
            </w:r>
            <w:r>
              <w:rPr>
                <w:noProof/>
                <w:webHidden/>
              </w:rPr>
              <w:tab/>
            </w:r>
            <w:r>
              <w:rPr>
                <w:noProof/>
                <w:webHidden/>
              </w:rPr>
              <w:fldChar w:fldCharType="begin"/>
            </w:r>
            <w:r>
              <w:rPr>
                <w:noProof/>
                <w:webHidden/>
              </w:rPr>
              <w:instrText xml:space="preserve"> PAGEREF _Toc200464094 \h </w:instrText>
            </w:r>
            <w:r>
              <w:rPr>
                <w:noProof/>
                <w:webHidden/>
              </w:rPr>
            </w:r>
            <w:r>
              <w:rPr>
                <w:noProof/>
                <w:webHidden/>
              </w:rPr>
              <w:fldChar w:fldCharType="separate"/>
            </w:r>
            <w:r w:rsidR="00FD481D">
              <w:rPr>
                <w:noProof/>
                <w:webHidden/>
              </w:rPr>
              <w:t>9</w:t>
            </w:r>
            <w:r>
              <w:rPr>
                <w:noProof/>
                <w:webHidden/>
              </w:rPr>
              <w:fldChar w:fldCharType="end"/>
            </w:r>
          </w:hyperlink>
        </w:p>
        <w:p w14:paraId="276EABF2" w14:textId="1F052A02" w:rsidR="004C3B47" w:rsidRDefault="004C3B47">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200464095" w:history="1">
            <w:r w:rsidRPr="0016766D">
              <w:rPr>
                <w:rStyle w:val="Hyperlink"/>
                <w:noProof/>
                <w14:scene3d>
                  <w14:camera w14:prst="orthographicFront"/>
                  <w14:lightRig w14:rig="threePt" w14:dir="t">
                    <w14:rot w14:lat="0" w14:lon="0" w14:rev="0"/>
                  </w14:lightRig>
                </w14:scene3d>
              </w:rPr>
              <w:t>2.7</w:t>
            </w:r>
            <w:r>
              <w:rPr>
                <w:rFonts w:asciiTheme="minorHAnsi" w:eastAsiaTheme="minorEastAsia" w:hAnsiTheme="minorHAnsi" w:cstheme="minorBidi"/>
                <w:noProof/>
                <w:kern w:val="2"/>
                <w:sz w:val="24"/>
                <w:lang w:eastAsia="en-GB"/>
                <w14:ligatures w14:val="standardContextual"/>
              </w:rPr>
              <w:tab/>
            </w:r>
            <w:r w:rsidRPr="0016766D">
              <w:rPr>
                <w:rStyle w:val="Hyperlink"/>
                <w:noProof/>
              </w:rPr>
              <w:t>Management Fee: Combined Profit % &amp; Overhead %</w:t>
            </w:r>
            <w:r>
              <w:rPr>
                <w:noProof/>
                <w:webHidden/>
              </w:rPr>
              <w:tab/>
            </w:r>
            <w:r>
              <w:rPr>
                <w:noProof/>
                <w:webHidden/>
              </w:rPr>
              <w:fldChar w:fldCharType="begin"/>
            </w:r>
            <w:r>
              <w:rPr>
                <w:noProof/>
                <w:webHidden/>
              </w:rPr>
              <w:instrText xml:space="preserve"> PAGEREF _Toc200464095 \h </w:instrText>
            </w:r>
            <w:r>
              <w:rPr>
                <w:noProof/>
                <w:webHidden/>
              </w:rPr>
            </w:r>
            <w:r>
              <w:rPr>
                <w:noProof/>
                <w:webHidden/>
              </w:rPr>
              <w:fldChar w:fldCharType="separate"/>
            </w:r>
            <w:r w:rsidR="00FD481D">
              <w:rPr>
                <w:noProof/>
                <w:webHidden/>
              </w:rPr>
              <w:t>9</w:t>
            </w:r>
            <w:r>
              <w:rPr>
                <w:noProof/>
                <w:webHidden/>
              </w:rPr>
              <w:fldChar w:fldCharType="end"/>
            </w:r>
          </w:hyperlink>
        </w:p>
        <w:p w14:paraId="5BC7267F" w14:textId="5EFD09A1" w:rsidR="004C3B47" w:rsidRDefault="004C3B47">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200464096" w:history="1">
            <w:r w:rsidRPr="0016766D">
              <w:rPr>
                <w:rStyle w:val="Hyperlink"/>
                <w:noProof/>
              </w:rPr>
              <w:t>2.7.1</w:t>
            </w:r>
            <w:r>
              <w:rPr>
                <w:rFonts w:asciiTheme="minorHAnsi" w:eastAsiaTheme="minorEastAsia" w:hAnsiTheme="minorHAnsi" w:cstheme="minorBidi"/>
                <w:noProof/>
                <w:kern w:val="2"/>
                <w:sz w:val="24"/>
                <w:lang w:eastAsia="en-GB"/>
                <w14:ligatures w14:val="standardContextual"/>
              </w:rPr>
              <w:tab/>
            </w:r>
            <w:r w:rsidRPr="0016766D">
              <w:rPr>
                <w:rStyle w:val="Hyperlink"/>
                <w:noProof/>
              </w:rPr>
              <w:t>Evaluation model used to compare bids and produce commercial evaluation scores</w:t>
            </w:r>
            <w:r>
              <w:rPr>
                <w:noProof/>
                <w:webHidden/>
              </w:rPr>
              <w:tab/>
            </w:r>
            <w:r>
              <w:rPr>
                <w:noProof/>
                <w:webHidden/>
              </w:rPr>
              <w:fldChar w:fldCharType="begin"/>
            </w:r>
            <w:r>
              <w:rPr>
                <w:noProof/>
                <w:webHidden/>
              </w:rPr>
              <w:instrText xml:space="preserve"> PAGEREF _Toc200464096 \h </w:instrText>
            </w:r>
            <w:r>
              <w:rPr>
                <w:noProof/>
                <w:webHidden/>
              </w:rPr>
            </w:r>
            <w:r>
              <w:rPr>
                <w:noProof/>
                <w:webHidden/>
              </w:rPr>
              <w:fldChar w:fldCharType="separate"/>
            </w:r>
            <w:r w:rsidR="00FD481D">
              <w:rPr>
                <w:noProof/>
                <w:webHidden/>
              </w:rPr>
              <w:t>9</w:t>
            </w:r>
            <w:r>
              <w:rPr>
                <w:noProof/>
                <w:webHidden/>
              </w:rPr>
              <w:fldChar w:fldCharType="end"/>
            </w:r>
          </w:hyperlink>
        </w:p>
        <w:p w14:paraId="021CD033" w14:textId="115F7AE5" w:rsidR="004C3B47" w:rsidRDefault="004C3B47">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00464097" w:history="1">
            <w:r w:rsidRPr="0016766D">
              <w:rPr>
                <w:rStyle w:val="Hyperlink"/>
                <w:iCs/>
                <w:noProof/>
              </w:rPr>
              <w:t>3</w:t>
            </w:r>
            <w:r>
              <w:rPr>
                <w:rFonts w:asciiTheme="minorHAnsi" w:eastAsiaTheme="minorEastAsia" w:hAnsiTheme="minorHAnsi" w:cstheme="minorBidi"/>
                <w:noProof/>
                <w:kern w:val="2"/>
                <w:sz w:val="24"/>
                <w:lang w:eastAsia="en-GB"/>
                <w14:ligatures w14:val="standardContextual"/>
              </w:rPr>
              <w:tab/>
            </w:r>
            <w:r w:rsidRPr="0016766D">
              <w:rPr>
                <w:rStyle w:val="Hyperlink"/>
                <w:noProof/>
              </w:rPr>
              <w:t>Subcontractors</w:t>
            </w:r>
            <w:r>
              <w:rPr>
                <w:noProof/>
                <w:webHidden/>
              </w:rPr>
              <w:tab/>
            </w:r>
            <w:r>
              <w:rPr>
                <w:noProof/>
                <w:webHidden/>
              </w:rPr>
              <w:fldChar w:fldCharType="begin"/>
            </w:r>
            <w:r>
              <w:rPr>
                <w:noProof/>
                <w:webHidden/>
              </w:rPr>
              <w:instrText xml:space="preserve"> PAGEREF _Toc200464097 \h </w:instrText>
            </w:r>
            <w:r>
              <w:rPr>
                <w:noProof/>
                <w:webHidden/>
              </w:rPr>
            </w:r>
            <w:r>
              <w:rPr>
                <w:noProof/>
                <w:webHidden/>
              </w:rPr>
              <w:fldChar w:fldCharType="separate"/>
            </w:r>
            <w:r w:rsidR="00FD481D">
              <w:rPr>
                <w:noProof/>
                <w:webHidden/>
              </w:rPr>
              <w:t>11</w:t>
            </w:r>
            <w:r>
              <w:rPr>
                <w:noProof/>
                <w:webHidden/>
              </w:rPr>
              <w:fldChar w:fldCharType="end"/>
            </w:r>
          </w:hyperlink>
        </w:p>
        <w:p w14:paraId="266BE3E2" w14:textId="1F7691CB" w:rsidR="004C3B47" w:rsidRDefault="004C3B47">
          <w:pPr>
            <w:pStyle w:val="TOC1"/>
            <w:tabs>
              <w:tab w:val="right" w:leader="dot" w:pos="9561"/>
            </w:tabs>
            <w:rPr>
              <w:rFonts w:asciiTheme="minorHAnsi" w:eastAsiaTheme="minorEastAsia" w:hAnsiTheme="minorHAnsi" w:cstheme="minorBidi"/>
              <w:noProof/>
              <w:kern w:val="2"/>
              <w:sz w:val="24"/>
              <w:lang w:eastAsia="en-GB"/>
              <w14:ligatures w14:val="standardContextual"/>
            </w:rPr>
          </w:pPr>
          <w:hyperlink w:anchor="_Toc200464098" w:history="1">
            <w:r w:rsidRPr="0016766D">
              <w:rPr>
                <w:rStyle w:val="Hyperlink"/>
                <w:noProof/>
              </w:rPr>
              <w:t>APPENDIX A – Cost Allocation Matrix</w:t>
            </w:r>
            <w:r>
              <w:rPr>
                <w:noProof/>
                <w:webHidden/>
              </w:rPr>
              <w:tab/>
            </w:r>
            <w:r>
              <w:rPr>
                <w:noProof/>
                <w:webHidden/>
              </w:rPr>
              <w:fldChar w:fldCharType="begin"/>
            </w:r>
            <w:r>
              <w:rPr>
                <w:noProof/>
                <w:webHidden/>
              </w:rPr>
              <w:instrText xml:space="preserve"> PAGEREF _Toc200464098 \h </w:instrText>
            </w:r>
            <w:r>
              <w:rPr>
                <w:noProof/>
                <w:webHidden/>
              </w:rPr>
            </w:r>
            <w:r>
              <w:rPr>
                <w:noProof/>
                <w:webHidden/>
              </w:rPr>
              <w:fldChar w:fldCharType="separate"/>
            </w:r>
            <w:r w:rsidR="00FD481D">
              <w:rPr>
                <w:noProof/>
                <w:webHidden/>
              </w:rPr>
              <w:t>12</w:t>
            </w:r>
            <w:r>
              <w:rPr>
                <w:noProof/>
                <w:webHidden/>
              </w:rPr>
              <w:fldChar w:fldCharType="end"/>
            </w:r>
          </w:hyperlink>
        </w:p>
        <w:p w14:paraId="4626B6AB" w14:textId="14122727" w:rsidR="00F02DD6" w:rsidRDefault="00F02DD6">
          <w:r>
            <w:rPr>
              <w:b/>
              <w:bCs/>
              <w:noProof/>
            </w:rPr>
            <w:fldChar w:fldCharType="end"/>
          </w:r>
        </w:p>
      </w:sdtContent>
    </w:sdt>
    <w:p w14:paraId="1C796764" w14:textId="733B1E9B" w:rsidR="00531D0B" w:rsidRDefault="00531D0B" w:rsidP="00AA6DE7">
      <w:pPr>
        <w:spacing w:before="0"/>
        <w:rPr>
          <w:szCs w:val="22"/>
        </w:rPr>
      </w:pPr>
    </w:p>
    <w:p w14:paraId="2E4D83E0" w14:textId="77777777" w:rsidR="00531D0B" w:rsidRDefault="00531D0B" w:rsidP="007C5C22">
      <w:pPr>
        <w:spacing w:before="0"/>
        <w:rPr>
          <w:szCs w:val="22"/>
        </w:rPr>
      </w:pPr>
    </w:p>
    <w:p w14:paraId="67B3156B" w14:textId="77777777" w:rsidR="00EA0E38" w:rsidRDefault="00EA0E38">
      <w:pPr>
        <w:spacing w:before="0"/>
        <w:rPr>
          <w:szCs w:val="22"/>
        </w:rPr>
      </w:pPr>
      <w:bookmarkStart w:id="2" w:name="_Toc35432042"/>
    </w:p>
    <w:p w14:paraId="1CADD23C" w14:textId="3D75B525" w:rsidR="001C1788" w:rsidRDefault="001C1788">
      <w:pPr>
        <w:spacing w:before="0"/>
        <w:rPr>
          <w:szCs w:val="22"/>
        </w:rPr>
      </w:pPr>
      <w:r>
        <w:rPr>
          <w:szCs w:val="22"/>
        </w:rPr>
        <w:br w:type="page"/>
      </w:r>
    </w:p>
    <w:p w14:paraId="06A443DD" w14:textId="45710A88" w:rsidR="00832D12" w:rsidRPr="00BE5982" w:rsidRDefault="00832D12" w:rsidP="00C05B9E">
      <w:pPr>
        <w:jc w:val="center"/>
        <w:rPr>
          <w:sz w:val="32"/>
          <w:szCs w:val="32"/>
        </w:rPr>
      </w:pPr>
      <w:r w:rsidRPr="00BE5982">
        <w:rPr>
          <w:sz w:val="32"/>
          <w:szCs w:val="32"/>
        </w:rPr>
        <w:lastRenderedPageBreak/>
        <w:t>Abbreviations and Definitions</w:t>
      </w:r>
    </w:p>
    <w:p w14:paraId="1FE75349" w14:textId="5B367287" w:rsidR="00C05B9E" w:rsidRDefault="00C05B9E" w:rsidP="00832D12"/>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3828D3" w14:paraId="1D4AC05A" w14:textId="77777777" w:rsidTr="003828D3">
        <w:tc>
          <w:tcPr>
            <w:tcW w:w="2539" w:type="dxa"/>
          </w:tcPr>
          <w:p w14:paraId="2328E8F0" w14:textId="5B39E916" w:rsidR="003828D3" w:rsidRPr="00F66492" w:rsidRDefault="003828D3" w:rsidP="003828D3">
            <w:pPr>
              <w:rPr>
                <w:b/>
                <w:bCs/>
              </w:rPr>
            </w:pPr>
            <w:r>
              <w:rPr>
                <w:b/>
                <w:bCs/>
              </w:rPr>
              <w:t>NWS</w:t>
            </w:r>
          </w:p>
        </w:tc>
        <w:tc>
          <w:tcPr>
            <w:tcW w:w="6975" w:type="dxa"/>
          </w:tcPr>
          <w:p w14:paraId="737CFEE0" w14:textId="4D501508" w:rsidR="003828D3" w:rsidRPr="00714B1E" w:rsidRDefault="003828D3" w:rsidP="003828D3">
            <w:r>
              <w:t>Nuclear Waste Services</w:t>
            </w:r>
          </w:p>
        </w:tc>
      </w:tr>
      <w:tr w:rsidR="003828D3" w14:paraId="05446669" w14:textId="77777777" w:rsidTr="003828D3">
        <w:tc>
          <w:tcPr>
            <w:tcW w:w="2539" w:type="dxa"/>
          </w:tcPr>
          <w:p w14:paraId="58B70160" w14:textId="139CCDC6" w:rsidR="003828D3" w:rsidRPr="00F66492" w:rsidRDefault="003828D3" w:rsidP="003828D3">
            <w:pPr>
              <w:rPr>
                <w:b/>
                <w:bCs/>
              </w:rPr>
            </w:pPr>
            <w:r>
              <w:rPr>
                <w:b/>
                <w:bCs/>
              </w:rPr>
              <w:t>SCDP</w:t>
            </w:r>
          </w:p>
        </w:tc>
        <w:tc>
          <w:tcPr>
            <w:tcW w:w="6975" w:type="dxa"/>
          </w:tcPr>
          <w:p w14:paraId="7FBCB3A3" w14:textId="2CDB8137" w:rsidR="003828D3" w:rsidRPr="00714B1E" w:rsidRDefault="003828D3" w:rsidP="003828D3">
            <w:r>
              <w:t>Site Characterisation Delivery Partner</w:t>
            </w:r>
          </w:p>
        </w:tc>
      </w:tr>
    </w:tbl>
    <w:p w14:paraId="69C558C7" w14:textId="7E11A9BD" w:rsidR="00E52062" w:rsidRDefault="00E52062" w:rsidP="002A3DE1"/>
    <w:p w14:paraId="6ECE97D9" w14:textId="3A5F0165" w:rsidR="00832D12" w:rsidRPr="001A2998" w:rsidRDefault="00832D12" w:rsidP="001A2998">
      <w:r w:rsidRPr="00BE5982">
        <w:br w:type="page"/>
      </w:r>
    </w:p>
    <w:p w14:paraId="78B156AC" w14:textId="5D7BA636" w:rsidR="00DF398B" w:rsidRDefault="001B47D0" w:rsidP="00081A60">
      <w:pPr>
        <w:pStyle w:val="Heading11"/>
      </w:pPr>
      <w:bookmarkStart w:id="3" w:name="_Toc200464087"/>
      <w:bookmarkEnd w:id="2"/>
      <w:r>
        <w:lastRenderedPageBreak/>
        <w:t>Purpose</w:t>
      </w:r>
      <w:bookmarkEnd w:id="3"/>
    </w:p>
    <w:p w14:paraId="7818F1B3" w14:textId="1DE2443E" w:rsidR="00C0746D" w:rsidRPr="00F74E8D" w:rsidRDefault="51B9E49D" w:rsidP="003F368A">
      <w:r>
        <w:t xml:space="preserve">This document is intended to provide potential Bidders with an opportunity to review </w:t>
      </w:r>
      <w:r w:rsidR="26EE2F05">
        <w:t xml:space="preserve">(1) </w:t>
      </w:r>
      <w:r>
        <w:t>draft commercial proposals</w:t>
      </w:r>
      <w:r w:rsidR="26EE2F05">
        <w:t xml:space="preserve"> and (2) the pricing evaluation approach for the procurement process</w:t>
      </w:r>
      <w:r>
        <w:t xml:space="preserve"> for the Site Characterisation Delivery Partner (SCDP) contract. All principles are indicative and are subject to change, feedback is welcomed on the proposals.</w:t>
      </w:r>
    </w:p>
    <w:p w14:paraId="533A52A8" w14:textId="24D1CF6A" w:rsidR="177F3300" w:rsidRDefault="177F3300">
      <w:r>
        <w:t xml:space="preserve">In developing this Pricing Approach NWS considered a range of options including a simple, single rate deck through to full NEC4 pricing. </w:t>
      </w:r>
      <w:r w:rsidR="1926E866">
        <w:t>In proposing this ‘hybrid’ approach based on actual salary plus aggregated overhead and profit fee</w:t>
      </w:r>
      <w:r w:rsidR="1A4CCBE9">
        <w:t xml:space="preserve"> percentages NWS has sought to strike a balance between transparency and administrative effort in the management of costs.</w:t>
      </w:r>
    </w:p>
    <w:p w14:paraId="4C418DC0" w14:textId="77777777" w:rsidR="00AB1FB7" w:rsidRPr="00050E2E" w:rsidRDefault="00AB1FB7" w:rsidP="00050E2E"/>
    <w:p w14:paraId="04913C01" w14:textId="2ED73401" w:rsidR="00A52326" w:rsidRDefault="00C6721C" w:rsidP="00C6721C">
      <w:pPr>
        <w:pStyle w:val="Heading11"/>
      </w:pPr>
      <w:bookmarkStart w:id="4" w:name="_Toc200464088"/>
      <w:r w:rsidRPr="00C6721C">
        <w:lastRenderedPageBreak/>
        <w:t>Pricing – Cost Re-imbursement and Target Cost</w:t>
      </w:r>
      <w:bookmarkEnd w:id="4"/>
    </w:p>
    <w:p w14:paraId="4ED4C3AF" w14:textId="23287C00" w:rsidR="002959F6" w:rsidRDefault="000E1949" w:rsidP="000E1949">
      <w:pPr>
        <w:pStyle w:val="Heading21"/>
      </w:pPr>
      <w:bookmarkStart w:id="5" w:name="_Toc200464089"/>
      <w:r w:rsidRPr="000E1949">
        <w:t>Pricing of Task Orders</w:t>
      </w:r>
      <w:bookmarkEnd w:id="5"/>
    </w:p>
    <w:p w14:paraId="4775CE28" w14:textId="36275266" w:rsidR="0000665E" w:rsidRDefault="2C156C27" w:rsidP="0000665E">
      <w:r>
        <w:t>Task Orders may be priced on a Cost Re-imbursement, Target Cost or Fixed Cost basis as determined by the Client.</w:t>
      </w:r>
      <w:r w:rsidR="6C7C5CBE">
        <w:t xml:space="preserve"> </w:t>
      </w:r>
      <w:r w:rsidR="40873E73">
        <w:t xml:space="preserve">NWS has a preference for using Target Cost or Fixed </w:t>
      </w:r>
      <w:r w:rsidR="08B4B416">
        <w:t xml:space="preserve">Cost pricing where the maturity of scope </w:t>
      </w:r>
      <w:r w:rsidR="2DCE2853">
        <w:t xml:space="preserve">(for any given Task Order) </w:t>
      </w:r>
      <w:r w:rsidR="08B4B416">
        <w:t>allows.</w:t>
      </w:r>
    </w:p>
    <w:p w14:paraId="046CFA9E" w14:textId="77777777" w:rsidR="0000665E" w:rsidRDefault="0000665E" w:rsidP="0000665E">
      <w:r>
        <w:t xml:space="preserve">Task Order 0 and Task Order 1 shall be priced on a Cost Re-imbursement basis. </w:t>
      </w:r>
    </w:p>
    <w:p w14:paraId="52010A76" w14:textId="0788FB36" w:rsidR="0000665E" w:rsidRDefault="0000665E" w:rsidP="0000665E">
      <w:r>
        <w:t>The Price of Task Order 0 and 1 shall be set by the Client based on the estimates submitted by the Consultant at</w:t>
      </w:r>
      <w:r w:rsidR="00FE7165">
        <w:t xml:space="preserve"> the</w:t>
      </w:r>
      <w:r>
        <w:t xml:space="preserve"> tender </w:t>
      </w:r>
      <w:r w:rsidR="00FE7165">
        <w:t xml:space="preserve">stage </w:t>
      </w:r>
      <w:r>
        <w:t>against fixed resource schedules provided by the Client.</w:t>
      </w:r>
    </w:p>
    <w:p w14:paraId="03FF6AEA" w14:textId="455568EE" w:rsidR="000E1949" w:rsidRDefault="0000665E" w:rsidP="0043415D">
      <w:r>
        <w:t>Subsequent Task Orders shall be priced by the Consultant against a Scope of Works provided by the Client and subject to the Clients acceptance.</w:t>
      </w:r>
    </w:p>
    <w:p w14:paraId="70459C48" w14:textId="56DA8293" w:rsidR="006E3FEA" w:rsidRDefault="2843936F" w:rsidP="0043415D">
      <w:r>
        <w:t xml:space="preserve">The Client shall be seeking wherever possible to utilise </w:t>
      </w:r>
      <w:r w:rsidR="7D52E82F">
        <w:t>the most</w:t>
      </w:r>
      <w:r w:rsidR="7C4018AA">
        <w:t xml:space="preserve"> cost predictable pricing method and the Consultant shall be encouraged to </w:t>
      </w:r>
      <w:r w:rsidR="7AAB1413">
        <w:t xml:space="preserve">start work on a Cost Re-imbursement basis until such time as the scope of the Task is sufficiently defined to move to </w:t>
      </w:r>
      <w:r w:rsidR="3DEF097B">
        <w:t>either a Target Cost or Fixed Cost mechanism.</w:t>
      </w:r>
    </w:p>
    <w:p w14:paraId="3DCDEC9C" w14:textId="3E0F1F01" w:rsidR="003F0AA3" w:rsidRDefault="00B60689" w:rsidP="00B60689">
      <w:pPr>
        <w:pStyle w:val="Heading21"/>
      </w:pPr>
      <w:bookmarkStart w:id="6" w:name="_Toc200464090"/>
      <w:r w:rsidRPr="00B60689">
        <w:t>Consultant’s Direct Employees</w:t>
      </w:r>
      <w:bookmarkEnd w:id="6"/>
    </w:p>
    <w:p w14:paraId="7E4AA0EE" w14:textId="77777777" w:rsidR="000B4584" w:rsidRDefault="000B4584" w:rsidP="000B4584">
      <w:r>
        <w:t>Work undertaken on a Cost Re-imbursement or Target Cost basis by the Consultant’s direct employees will be priced as follows:</w:t>
      </w:r>
    </w:p>
    <w:p w14:paraId="535509B2" w14:textId="77777777" w:rsidR="000B4584" w:rsidRDefault="000B4584" w:rsidP="000B4584">
      <w:r>
        <w:t>Actual Salary + Overhead % Fee + Profit % Fee x hours worked</w:t>
      </w:r>
    </w:p>
    <w:p w14:paraId="462A1E9C" w14:textId="77777777" w:rsidR="000B4584" w:rsidRDefault="000B4584" w:rsidP="000B4584">
      <w:r>
        <w:t xml:space="preserve">'Actual Salary' refers to the annual base salary which the resource will be paid by the Bidder, which will be subject to audit. </w:t>
      </w:r>
    </w:p>
    <w:p w14:paraId="67205889" w14:textId="77777777" w:rsidR="000B4584" w:rsidRDefault="000B4584" w:rsidP="000B4584">
      <w:r>
        <w:t>The Overhead % Fee and Profit % Fee combined are referred to as the ‘Management Fee’.</w:t>
      </w:r>
    </w:p>
    <w:p w14:paraId="71122D46" w14:textId="77777777" w:rsidR="000B4584" w:rsidRDefault="600E0883" w:rsidP="000B4584">
      <w:r>
        <w:t xml:space="preserve">All other costs (other than agreed 'Routine Expenses' and ‘Agreed Task Order Costs’) and profit associated with the Consultants' proposal are to be incorporated within the Management Fee (consisting of Overhead % Fee and Profit % Fee), which will then be applied as an uplift to the Actual Salary costs for each resource. </w:t>
      </w:r>
    </w:p>
    <w:p w14:paraId="22AD5748" w14:textId="39E3F67C" w:rsidR="76D17C2A" w:rsidRDefault="76D17C2A">
      <w:r>
        <w:t>The Consultant sets out their Overhead % Fee and Profit % Fee at the initial In</w:t>
      </w:r>
      <w:r w:rsidR="0B2F1CC8">
        <w:t>vitation to Tender Stage. They shall remain constant, subject to any adjustment mechanism set out in the contact, for the duration of the contract.</w:t>
      </w:r>
    </w:p>
    <w:p w14:paraId="0FC3263A" w14:textId="335286D7" w:rsidR="003F0AA3" w:rsidRDefault="000B4584" w:rsidP="000B4584">
      <w:r>
        <w:t>An indicative cost allocation matrix is provided in Appendix A, which identifies how NWS proposes that the Consultant identifies their Actual Salary, Overhead, and Profit proposals:</w:t>
      </w:r>
    </w:p>
    <w:p w14:paraId="0B835CAB" w14:textId="77777777" w:rsidR="00935B07" w:rsidRPr="00935B07" w:rsidRDefault="00935B07" w:rsidP="00935B07">
      <w:pPr>
        <w:numPr>
          <w:ilvl w:val="0"/>
          <w:numId w:val="23"/>
        </w:numPr>
        <w:ind w:left="714" w:hanging="357"/>
      </w:pPr>
      <w:r w:rsidRPr="00935B07">
        <w:rPr>
          <w:rFonts w:eastAsia="Aptos" w:cs="Arial"/>
          <w:b/>
          <w:bCs/>
          <w:kern w:val="2"/>
          <w:sz w:val="24"/>
          <w:lang w:val="en-US"/>
          <w14:ligatures w14:val="standardContextual"/>
        </w:rPr>
        <w:t>Overhead %:</w:t>
      </w:r>
      <w:r w:rsidRPr="00935B07">
        <w:rPr>
          <w:rFonts w:eastAsia="Aptos" w:cs="Arial"/>
          <w:kern w:val="2"/>
          <w:sz w:val="24"/>
          <w:lang w:val="en-US"/>
          <w14:ligatures w14:val="standardContextual"/>
        </w:rPr>
        <w:t xml:space="preserve"> To include all overhead costs including, but not limited to, the items identified in Appendix A. </w:t>
      </w:r>
    </w:p>
    <w:p w14:paraId="2719AAB6" w14:textId="53735B53" w:rsidR="000B4584" w:rsidRDefault="00935B07" w:rsidP="00935B07">
      <w:pPr>
        <w:numPr>
          <w:ilvl w:val="0"/>
          <w:numId w:val="23"/>
        </w:numPr>
        <w:ind w:left="714" w:hanging="357"/>
      </w:pPr>
      <w:r w:rsidRPr="00935B07">
        <w:rPr>
          <w:rFonts w:eastAsia="Aptos" w:cs="Arial"/>
          <w:b/>
          <w:bCs/>
          <w:kern w:val="2"/>
          <w:szCs w:val="22"/>
          <w14:ligatures w14:val="standardContextual"/>
        </w:rPr>
        <w:t>Profit %</w:t>
      </w:r>
      <w:r w:rsidRPr="00935B07">
        <w:rPr>
          <w:rFonts w:eastAsia="Aptos" w:cs="Arial"/>
          <w:kern w:val="2"/>
          <w:szCs w:val="22"/>
          <w14:ligatures w14:val="standardContextual"/>
        </w:rPr>
        <w:t>: Includes all other costs, risk items, or profit requirements which are not captured within the 'Allowable Cost' (comprising ‘Actual Salaries’, ‘Routine Expenses’ and ‘Agreed Task Order Costs’) and Overhead %.</w:t>
      </w:r>
    </w:p>
    <w:p w14:paraId="6E16DEBC" w14:textId="7B135E84" w:rsidR="003F0AA3" w:rsidRPr="00A352B4" w:rsidRDefault="003F48DC" w:rsidP="00B2173D">
      <w:pPr>
        <w:pStyle w:val="Heading31"/>
      </w:pPr>
      <w:r w:rsidRPr="003F48DC">
        <w:t>Additional pricing assumptions</w:t>
      </w:r>
    </w:p>
    <w:p w14:paraId="485E47EC" w14:textId="63339357" w:rsidR="005E4F78" w:rsidRDefault="005E4F78" w:rsidP="005E4F78">
      <w:pPr>
        <w:numPr>
          <w:ilvl w:val="0"/>
          <w:numId w:val="23"/>
        </w:numPr>
        <w:ind w:left="714" w:hanging="357"/>
      </w:pPr>
      <w:r>
        <w:t>Working hours will be based on an 8hr working day, 40hr working week – total full-time hours expected are 1,850hrs per year (excluding annual leave, sickness etc).</w:t>
      </w:r>
    </w:p>
    <w:p w14:paraId="09C8AD00" w14:textId="15A2BCFB" w:rsidR="005E4F78" w:rsidRDefault="005E4F78" w:rsidP="005E4F78">
      <w:pPr>
        <w:numPr>
          <w:ilvl w:val="0"/>
          <w:numId w:val="23"/>
        </w:numPr>
        <w:ind w:left="714" w:hanging="357"/>
      </w:pPr>
      <w:r>
        <w:tab/>
        <w:t>The Management Fee shall cover all working locations with the exception of allowances for Offshore working not already covered by a person’s base actual salary (see below).</w:t>
      </w:r>
    </w:p>
    <w:p w14:paraId="3A3DDA00" w14:textId="37F17C64" w:rsidR="005E4F78" w:rsidRDefault="005E4F78" w:rsidP="005E4F78">
      <w:pPr>
        <w:numPr>
          <w:ilvl w:val="0"/>
          <w:numId w:val="23"/>
        </w:numPr>
        <w:ind w:left="714" w:hanging="357"/>
      </w:pPr>
      <w:r>
        <w:lastRenderedPageBreak/>
        <w:tab/>
        <w:t>The Management Fee shall be inclusive of all domestic and international relocation expenses.</w:t>
      </w:r>
    </w:p>
    <w:p w14:paraId="63677391" w14:textId="49EF3BA4" w:rsidR="005E4F78" w:rsidRDefault="005E4F78" w:rsidP="005E4F78">
      <w:pPr>
        <w:numPr>
          <w:ilvl w:val="0"/>
          <w:numId w:val="23"/>
        </w:numPr>
        <w:ind w:left="714" w:hanging="357"/>
      </w:pPr>
      <w:r>
        <w:tab/>
        <w:t>For Task Orders that require Offshore working, any offshore working allowances not covered by the persons base actual salary shall be an Expense and paid at cost, subject to a maximum limit to be set by the Client.</w:t>
      </w:r>
    </w:p>
    <w:p w14:paraId="53F08FCB" w14:textId="1D60B6DF" w:rsidR="005E4F78" w:rsidRDefault="005E4F78" w:rsidP="005E4F78">
      <w:pPr>
        <w:numPr>
          <w:ilvl w:val="0"/>
          <w:numId w:val="23"/>
        </w:numPr>
        <w:ind w:left="714" w:hanging="357"/>
      </w:pPr>
      <w:r>
        <w:tab/>
        <w:t>A</w:t>
      </w:r>
      <w:r w:rsidR="00A52A5E">
        <w:t>s part of the procurement process a</w:t>
      </w:r>
      <w:r>
        <w:t>ll bids are to be submitted in British Pounds Sterling (£). The Management Fee shall include any exchange rate risk.</w:t>
      </w:r>
    </w:p>
    <w:p w14:paraId="1AA34C1D" w14:textId="2A017DBD" w:rsidR="005E4F78" w:rsidRDefault="005E4F78" w:rsidP="005E4F78">
      <w:pPr>
        <w:numPr>
          <w:ilvl w:val="0"/>
          <w:numId w:val="23"/>
        </w:numPr>
        <w:ind w:left="714" w:hanging="357"/>
      </w:pPr>
      <w:r>
        <w:tab/>
      </w:r>
      <w:r w:rsidR="0E4798C6">
        <w:t xml:space="preserve">NWS will retain a commercial audit right at the following intervals: Year 1 - every 6 months. Years 2 onwards - every 12 months. NWS will have a further right to audit where there is ‘due cause’. The right to audit will extend to tier 1 subcontractors of the </w:t>
      </w:r>
      <w:r w:rsidR="384670F6">
        <w:t>Consultant</w:t>
      </w:r>
      <w:r w:rsidR="0E4798C6">
        <w:t>. Tier 2 subcontractors will only be audited by exception, where there is due cause.</w:t>
      </w:r>
    </w:p>
    <w:p w14:paraId="241B6657" w14:textId="6DE37EA9" w:rsidR="248F1C80" w:rsidRDefault="248F1C80" w:rsidP="00353A0E">
      <w:pPr>
        <w:ind w:left="1440"/>
      </w:pPr>
      <w:r>
        <w:t>Due cause shall be determined by NWS but includes for example</w:t>
      </w:r>
      <w:r w:rsidR="10E17570">
        <w:t xml:space="preserve"> quality issues, errors in or late reporting of subcontractor costs.</w:t>
      </w:r>
    </w:p>
    <w:p w14:paraId="3CFF00D7" w14:textId="02853C9C" w:rsidR="002959F6" w:rsidRDefault="005E4F78" w:rsidP="005E4F78">
      <w:pPr>
        <w:numPr>
          <w:ilvl w:val="0"/>
          <w:numId w:val="23"/>
        </w:numPr>
        <w:ind w:left="714" w:hanging="357"/>
      </w:pPr>
      <w:r>
        <w:tab/>
        <w:t>The Consultant’s rates and prices at tender stage shall remain valid for year 1 of the contract</w:t>
      </w:r>
      <w:r w:rsidR="00991FD1">
        <w:t xml:space="preserve">, the </w:t>
      </w:r>
      <w:r w:rsidR="001833CA">
        <w:t>Consultant shall then submit a proposal increase to salaries based on the annual increase applied to all staff within the organis</w:t>
      </w:r>
      <w:r w:rsidR="00014BE4">
        <w:t>ation(s) which shall be subject to audit.</w:t>
      </w:r>
    </w:p>
    <w:p w14:paraId="5F8F252D" w14:textId="77777777" w:rsidR="0090770E" w:rsidRDefault="0090770E" w:rsidP="0090770E">
      <w:pPr>
        <w:pStyle w:val="Heading21"/>
      </w:pPr>
      <w:bookmarkStart w:id="7" w:name="_Toc200464091"/>
      <w:r>
        <w:t>Named Sub-contractor personnel</w:t>
      </w:r>
      <w:bookmarkEnd w:id="7"/>
    </w:p>
    <w:p w14:paraId="2CA20F27" w14:textId="77777777" w:rsidR="0090770E" w:rsidRDefault="3BF5D923" w:rsidP="0090770E">
      <w:r>
        <w:t xml:space="preserve">Named Sub-contractor personnel will be charged at a rate inclusive of all costs, overheads and profit charged by the subcontractor for the resource (‘Sub-contract Rate’). The Consultant will then be permitted to apply a Sub-Contract Profit % Fee to the actual Sub-contract Rate, which NWS will reimburse. </w:t>
      </w:r>
    </w:p>
    <w:p w14:paraId="602C0875" w14:textId="77777777" w:rsidR="0090770E" w:rsidRDefault="0090770E" w:rsidP="0090770E">
      <w:r>
        <w:t>The Sub-Contract Profit % Fee shall be capped at 5%.</w:t>
      </w:r>
    </w:p>
    <w:p w14:paraId="6125887D" w14:textId="65801134" w:rsidR="008A5E73" w:rsidRDefault="0090770E" w:rsidP="0090770E">
      <w:r>
        <w:t>The Consultant will not be permitted to add an</w:t>
      </w:r>
      <w:r w:rsidR="009576E1">
        <w:t>y</w:t>
      </w:r>
      <w:r>
        <w:t xml:space="preserve"> additional Overhead % Fee or Profit % Fee to the Sub-contract Rate. Any time spent by the Consultant procuring and managing subcontractors will not be chargeable as an "Allowable Cost" and so an allowance for this activity would need to be incorporated within Consultant’s Management Fee.</w:t>
      </w:r>
    </w:p>
    <w:p w14:paraId="10FF7E4A" w14:textId="77777777" w:rsidR="00311BA9" w:rsidRDefault="00311BA9" w:rsidP="00311BA9">
      <w:pPr>
        <w:pStyle w:val="Heading21"/>
      </w:pPr>
      <w:bookmarkStart w:id="8" w:name="_Toc200464092"/>
      <w:r>
        <w:t>Expenses</w:t>
      </w:r>
      <w:bookmarkEnd w:id="8"/>
    </w:p>
    <w:p w14:paraId="349CA0FE" w14:textId="77777777" w:rsidR="00311BA9" w:rsidRDefault="00311BA9" w:rsidP="00311BA9">
      <w:r>
        <w:t xml:space="preserve">Only ‘Routine Expenses’ (travel, accommodation, subsistence) covered by the Clients' expenses policy, within the stated limits, and any ‘Offshore Working Allowance’ will be reimbursable through the Allowable Cost mechanism. All other costs will not be eligible for reimbursement. </w:t>
      </w:r>
    </w:p>
    <w:p w14:paraId="77D90E61" w14:textId="77777777" w:rsidR="00311BA9" w:rsidRDefault="00311BA9" w:rsidP="00311BA9">
      <w:r>
        <w:t>The Client may, as part of the Task Order process, identify ‘Task Order-specific’ items which are required to deliver a Task Order which would not ordinarily be required by the Consultant in its delivery of the services (e.g. supply of specialist equipment). Any such items will be specified by the Client, pre-authorised and paid as an 'Agreed Task Order Cost'.</w:t>
      </w:r>
    </w:p>
    <w:p w14:paraId="55CB0C6F" w14:textId="5D09A4D5" w:rsidR="00610375" w:rsidRDefault="00311BA9" w:rsidP="00311BA9">
      <w:r>
        <w:t>Routine Expenses and Agreed Task Order Costs will be paid as a pass-through cost, without the application of the Management Fee (No Overhead % Fee or Profit % Fee).</w:t>
      </w:r>
    </w:p>
    <w:p w14:paraId="364F7852" w14:textId="67A20D7C" w:rsidR="00206F7C" w:rsidRDefault="5E86C2AE" w:rsidP="5C87220B">
      <w:pPr>
        <w:pStyle w:val="Heading21"/>
        <w:numPr>
          <w:ilvl w:val="0"/>
          <w:numId w:val="0"/>
        </w:numPr>
      </w:pPr>
      <w:bookmarkStart w:id="9" w:name="_Toc200464093"/>
      <w:r>
        <w:t xml:space="preserve">Procurement Process, </w:t>
      </w:r>
      <w:r w:rsidR="7E954D45">
        <w:t>Pricing Submission – Evaluation Model</w:t>
      </w:r>
      <w:bookmarkEnd w:id="9"/>
      <w:r w:rsidR="7E954D45">
        <w:t xml:space="preserve"> </w:t>
      </w:r>
    </w:p>
    <w:p w14:paraId="0D6295F8" w14:textId="027F2ED1" w:rsidR="00610375" w:rsidRDefault="00206F7C" w:rsidP="00206F7C">
      <w:r>
        <w:t>The evaluation of the pricing submission will constitute 20% of the overall 100% tender evaluation weighting (100%). The identified 20% is then further divided into two distinct components to identify the price competitiveness of a bid, summarised in the table below and explained in detail below:</w:t>
      </w:r>
    </w:p>
    <w:tbl>
      <w:tblPr>
        <w:tblW w:w="9209" w:type="dxa"/>
        <w:jc w:val="center"/>
        <w:tblCellMar>
          <w:left w:w="0" w:type="dxa"/>
          <w:right w:w="0" w:type="dxa"/>
        </w:tblCellMar>
        <w:tblLook w:val="0600" w:firstRow="0" w:lastRow="0" w:firstColumn="0" w:lastColumn="0" w:noHBand="1" w:noVBand="1"/>
      </w:tblPr>
      <w:tblGrid>
        <w:gridCol w:w="1559"/>
        <w:gridCol w:w="2972"/>
        <w:gridCol w:w="2977"/>
        <w:gridCol w:w="1701"/>
      </w:tblGrid>
      <w:tr w:rsidR="00AA4281" w:rsidRPr="00AA4281" w14:paraId="7BEEB381" w14:textId="77777777" w:rsidTr="0066297D">
        <w:trPr>
          <w:trHeight w:val="246"/>
          <w:jc w:val="center"/>
        </w:trPr>
        <w:tc>
          <w:tcPr>
            <w:tcW w:w="1559" w:type="dxa"/>
            <w:tcBorders>
              <w:top w:val="single" w:sz="4" w:space="0" w:color="9E9E9E"/>
              <w:left w:val="single" w:sz="4" w:space="0" w:color="9E9E9E"/>
              <w:bottom w:val="single" w:sz="4" w:space="0" w:color="9E9E9E"/>
              <w:right w:val="single" w:sz="4" w:space="0" w:color="9E9E9E"/>
            </w:tcBorders>
            <w:shd w:val="clear" w:color="auto" w:fill="518378"/>
            <w:tcMar>
              <w:top w:w="60" w:type="dxa"/>
              <w:left w:w="100" w:type="dxa"/>
              <w:bottom w:w="60" w:type="dxa"/>
              <w:right w:w="100" w:type="dxa"/>
            </w:tcMar>
            <w:hideMark/>
          </w:tcPr>
          <w:p w14:paraId="4D48FFFC" w14:textId="77777777" w:rsidR="00AA4281" w:rsidRPr="00AA4281" w:rsidRDefault="00AA4281" w:rsidP="00AA4281">
            <w:pPr>
              <w:spacing w:before="0" w:after="0"/>
              <w:textAlignment w:val="top"/>
              <w:rPr>
                <w:rFonts w:cs="Arial"/>
                <w:sz w:val="24"/>
                <w:lang w:eastAsia="en-GB"/>
              </w:rPr>
            </w:pPr>
            <w:r w:rsidRPr="00AA4281">
              <w:rPr>
                <w:rFonts w:cs="Arial"/>
                <w:b/>
                <w:bCs/>
                <w:color w:val="FFFFFF"/>
                <w:sz w:val="24"/>
                <w:lang w:eastAsia="en-GB"/>
              </w:rPr>
              <w:t>Component</w:t>
            </w:r>
          </w:p>
        </w:tc>
        <w:tc>
          <w:tcPr>
            <w:tcW w:w="2972" w:type="dxa"/>
            <w:tcBorders>
              <w:top w:val="single" w:sz="4" w:space="0" w:color="9E9E9E"/>
              <w:left w:val="single" w:sz="4" w:space="0" w:color="9E9E9E"/>
              <w:bottom w:val="single" w:sz="4" w:space="0" w:color="9E9E9E"/>
              <w:right w:val="single" w:sz="4" w:space="0" w:color="9E9E9E"/>
            </w:tcBorders>
            <w:shd w:val="clear" w:color="auto" w:fill="518378"/>
            <w:tcMar>
              <w:top w:w="60" w:type="dxa"/>
              <w:left w:w="100" w:type="dxa"/>
              <w:bottom w:w="60" w:type="dxa"/>
              <w:right w:w="100" w:type="dxa"/>
            </w:tcMar>
            <w:hideMark/>
          </w:tcPr>
          <w:p w14:paraId="04913FA4" w14:textId="77777777" w:rsidR="00AA4281" w:rsidRPr="00AA4281" w:rsidRDefault="00AA4281" w:rsidP="00AA4281">
            <w:pPr>
              <w:spacing w:before="0" w:after="0"/>
              <w:textAlignment w:val="top"/>
              <w:rPr>
                <w:rFonts w:cs="Arial"/>
                <w:sz w:val="24"/>
                <w:lang w:eastAsia="en-GB"/>
              </w:rPr>
            </w:pPr>
            <w:r w:rsidRPr="00AA4281">
              <w:rPr>
                <w:rFonts w:cs="Arial"/>
                <w:b/>
                <w:bCs/>
                <w:color w:val="FFFFFF"/>
                <w:sz w:val="24"/>
                <w:lang w:eastAsia="en-GB"/>
              </w:rPr>
              <w:t>Purpose</w:t>
            </w:r>
          </w:p>
        </w:tc>
        <w:tc>
          <w:tcPr>
            <w:tcW w:w="2977" w:type="dxa"/>
            <w:tcBorders>
              <w:top w:val="single" w:sz="4" w:space="0" w:color="9E9E9E"/>
              <w:left w:val="single" w:sz="4" w:space="0" w:color="9E9E9E"/>
              <w:bottom w:val="single" w:sz="4" w:space="0" w:color="9E9E9E"/>
              <w:right w:val="single" w:sz="4" w:space="0" w:color="9E9E9E"/>
            </w:tcBorders>
            <w:shd w:val="clear" w:color="auto" w:fill="518378"/>
            <w:tcMar>
              <w:top w:w="60" w:type="dxa"/>
              <w:left w:w="100" w:type="dxa"/>
              <w:bottom w:w="60" w:type="dxa"/>
              <w:right w:w="100" w:type="dxa"/>
            </w:tcMar>
            <w:hideMark/>
          </w:tcPr>
          <w:p w14:paraId="534328EE" w14:textId="77777777" w:rsidR="00AA4281" w:rsidRPr="00AA4281" w:rsidRDefault="00AA4281" w:rsidP="00AA4281">
            <w:pPr>
              <w:spacing w:before="0" w:after="0"/>
              <w:textAlignment w:val="top"/>
              <w:rPr>
                <w:rFonts w:cs="Arial"/>
                <w:sz w:val="24"/>
                <w:lang w:eastAsia="en-GB"/>
              </w:rPr>
            </w:pPr>
            <w:r w:rsidRPr="00AA4281">
              <w:rPr>
                <w:rFonts w:cs="Arial"/>
                <w:b/>
                <w:bCs/>
                <w:color w:val="FFFFFF"/>
                <w:sz w:val="24"/>
                <w:lang w:eastAsia="en-GB"/>
              </w:rPr>
              <w:t>Methodology</w:t>
            </w:r>
          </w:p>
        </w:tc>
        <w:tc>
          <w:tcPr>
            <w:tcW w:w="1701" w:type="dxa"/>
            <w:tcBorders>
              <w:top w:val="single" w:sz="4" w:space="0" w:color="9E9E9E"/>
              <w:left w:val="single" w:sz="4" w:space="0" w:color="9E9E9E"/>
              <w:bottom w:val="single" w:sz="4" w:space="0" w:color="9E9E9E"/>
              <w:right w:val="single" w:sz="4" w:space="0" w:color="9E9E9E"/>
            </w:tcBorders>
            <w:shd w:val="clear" w:color="auto" w:fill="518378"/>
            <w:tcMar>
              <w:top w:w="60" w:type="dxa"/>
              <w:left w:w="100" w:type="dxa"/>
              <w:bottom w:w="60" w:type="dxa"/>
              <w:right w:w="100" w:type="dxa"/>
            </w:tcMar>
            <w:hideMark/>
          </w:tcPr>
          <w:p w14:paraId="52860EB2" w14:textId="77777777" w:rsidR="00AA4281" w:rsidRPr="00AA4281" w:rsidRDefault="00AA4281" w:rsidP="00AA4281">
            <w:pPr>
              <w:spacing w:before="0" w:after="0"/>
              <w:textAlignment w:val="top"/>
              <w:rPr>
                <w:rFonts w:cs="Arial"/>
                <w:sz w:val="24"/>
                <w:lang w:eastAsia="en-GB"/>
              </w:rPr>
            </w:pPr>
            <w:r w:rsidRPr="00AA4281">
              <w:rPr>
                <w:rFonts w:cs="Arial"/>
                <w:b/>
                <w:bCs/>
                <w:color w:val="FFFFFF"/>
                <w:sz w:val="24"/>
                <w:lang w:eastAsia="en-GB"/>
              </w:rPr>
              <w:t>Weighting</w:t>
            </w:r>
          </w:p>
        </w:tc>
      </w:tr>
      <w:tr w:rsidR="00AA4281" w:rsidRPr="00AA4281" w14:paraId="6D7D5DA3" w14:textId="77777777" w:rsidTr="0066297D">
        <w:trPr>
          <w:trHeight w:val="1001"/>
          <w:jc w:val="center"/>
        </w:trPr>
        <w:tc>
          <w:tcPr>
            <w:tcW w:w="1559" w:type="dxa"/>
            <w:tcBorders>
              <w:top w:val="single" w:sz="4" w:space="0" w:color="9E9E9E"/>
              <w:left w:val="single" w:sz="4" w:space="0" w:color="9E9E9E"/>
              <w:bottom w:val="single" w:sz="4" w:space="0" w:color="9E9E9E"/>
              <w:right w:val="single" w:sz="4" w:space="0" w:color="9E9E9E"/>
            </w:tcBorders>
            <w:tcMar>
              <w:top w:w="60" w:type="dxa"/>
              <w:left w:w="100" w:type="dxa"/>
              <w:bottom w:w="60" w:type="dxa"/>
              <w:right w:w="100" w:type="dxa"/>
            </w:tcMar>
            <w:vAlign w:val="center"/>
            <w:hideMark/>
          </w:tcPr>
          <w:p w14:paraId="0F694AD6" w14:textId="77777777" w:rsidR="00AA4281" w:rsidRPr="00AA4281" w:rsidRDefault="00AA4281" w:rsidP="00AA4281">
            <w:pPr>
              <w:spacing w:before="0" w:after="0"/>
              <w:textAlignment w:val="top"/>
              <w:rPr>
                <w:rFonts w:cs="Arial"/>
                <w:sz w:val="20"/>
                <w:szCs w:val="20"/>
                <w:lang w:eastAsia="en-GB"/>
              </w:rPr>
            </w:pPr>
            <w:r w:rsidRPr="00AA4281">
              <w:rPr>
                <w:rFonts w:cs="Arial"/>
                <w:b/>
                <w:bCs/>
                <w:color w:val="000000"/>
                <w:sz w:val="20"/>
                <w:szCs w:val="20"/>
                <w:lang w:eastAsia="en-GB"/>
              </w:rPr>
              <w:lastRenderedPageBreak/>
              <w:t>Task Order 0 &amp; 1 price</w:t>
            </w:r>
          </w:p>
        </w:tc>
        <w:tc>
          <w:tcPr>
            <w:tcW w:w="2972" w:type="dxa"/>
            <w:tcBorders>
              <w:top w:val="single" w:sz="4" w:space="0" w:color="9E9E9E"/>
              <w:left w:val="single" w:sz="4" w:space="0" w:color="9E9E9E"/>
              <w:bottom w:val="single" w:sz="4" w:space="0" w:color="9E9E9E"/>
              <w:right w:val="single" w:sz="4" w:space="0" w:color="9E9E9E"/>
            </w:tcBorders>
            <w:tcMar>
              <w:top w:w="60" w:type="dxa"/>
              <w:left w:w="100" w:type="dxa"/>
              <w:bottom w:w="60" w:type="dxa"/>
              <w:right w:w="100" w:type="dxa"/>
            </w:tcMar>
            <w:vAlign w:val="center"/>
            <w:hideMark/>
          </w:tcPr>
          <w:p w14:paraId="5568A7AB" w14:textId="77777777" w:rsidR="00AA4281" w:rsidRPr="00AA4281" w:rsidRDefault="00AA4281" w:rsidP="00AA4281">
            <w:pPr>
              <w:spacing w:before="0" w:after="0"/>
              <w:textAlignment w:val="top"/>
              <w:rPr>
                <w:rFonts w:cs="Arial"/>
                <w:sz w:val="20"/>
                <w:szCs w:val="20"/>
                <w:lang w:eastAsia="en-GB"/>
              </w:rPr>
            </w:pPr>
            <w:r w:rsidRPr="00AA4281">
              <w:rPr>
                <w:rFonts w:cs="Arial"/>
                <w:color w:val="000000"/>
                <w:sz w:val="20"/>
                <w:szCs w:val="20"/>
                <w:lang w:eastAsia="en-GB"/>
              </w:rPr>
              <w:t>To provide an indicative estimate of the actual resource costs for delivering the first two Task Orders (0&amp;1), incorporating the corresponding impact of the proposed Management Fee. Drives a comparison on indicative costs.</w:t>
            </w:r>
          </w:p>
        </w:tc>
        <w:tc>
          <w:tcPr>
            <w:tcW w:w="2977" w:type="dxa"/>
            <w:tcBorders>
              <w:top w:val="single" w:sz="4" w:space="0" w:color="9E9E9E"/>
              <w:left w:val="single" w:sz="4" w:space="0" w:color="9E9E9E"/>
              <w:bottom w:val="single" w:sz="4" w:space="0" w:color="9E9E9E"/>
              <w:right w:val="single" w:sz="4" w:space="0" w:color="9E9E9E"/>
            </w:tcBorders>
            <w:tcMar>
              <w:top w:w="60" w:type="dxa"/>
              <w:left w:w="100" w:type="dxa"/>
              <w:bottom w:w="60" w:type="dxa"/>
              <w:right w:w="100" w:type="dxa"/>
            </w:tcMar>
            <w:vAlign w:val="center"/>
            <w:hideMark/>
          </w:tcPr>
          <w:p w14:paraId="2AF5203E" w14:textId="77777777" w:rsidR="00AA4281" w:rsidRPr="00AA4281" w:rsidRDefault="00AA4281" w:rsidP="00AA4281">
            <w:pPr>
              <w:spacing w:before="0" w:after="0"/>
              <w:textAlignment w:val="top"/>
              <w:rPr>
                <w:rFonts w:cs="Arial"/>
                <w:sz w:val="20"/>
                <w:szCs w:val="20"/>
                <w:lang w:eastAsia="en-GB"/>
              </w:rPr>
            </w:pPr>
            <w:r w:rsidRPr="00AA4281">
              <w:rPr>
                <w:rFonts w:cs="Arial"/>
                <w:color w:val="000000"/>
                <w:sz w:val="20"/>
                <w:szCs w:val="20"/>
                <w:lang w:eastAsia="en-GB"/>
              </w:rPr>
              <w:t>Bidders input the following into a fixed NWS resource profile:</w:t>
            </w:r>
          </w:p>
          <w:p w14:paraId="18E2AB30" w14:textId="77777777" w:rsidR="00AA4281" w:rsidRPr="00AA4281" w:rsidRDefault="00AA4281" w:rsidP="00AA4281">
            <w:pPr>
              <w:numPr>
                <w:ilvl w:val="0"/>
                <w:numId w:val="24"/>
              </w:numPr>
              <w:spacing w:before="0" w:after="0" w:line="278" w:lineRule="auto"/>
              <w:ind w:left="322" w:hanging="142"/>
              <w:contextualSpacing/>
              <w:textAlignment w:val="baseline"/>
              <w:rPr>
                <w:rFonts w:cs="Arial"/>
                <w:color w:val="000000"/>
                <w:sz w:val="20"/>
                <w:szCs w:val="20"/>
                <w:lang w:eastAsia="en-GB"/>
              </w:rPr>
            </w:pPr>
            <w:r w:rsidRPr="00AA4281">
              <w:rPr>
                <w:rFonts w:cs="Arial"/>
                <w:color w:val="000000"/>
                <w:sz w:val="20"/>
                <w:szCs w:val="20"/>
                <w:lang w:eastAsia="en-GB"/>
              </w:rPr>
              <w:t xml:space="preserve">Actual Salaries of Task 0 staff (14 defined Core Team roles) and Task 1 staff (14 defined roles) </w:t>
            </w:r>
          </w:p>
          <w:p w14:paraId="4ACE20E9" w14:textId="77777777" w:rsidR="00AA4281" w:rsidRPr="00AA4281" w:rsidRDefault="00AA4281" w:rsidP="00AA4281">
            <w:pPr>
              <w:numPr>
                <w:ilvl w:val="0"/>
                <w:numId w:val="24"/>
              </w:numPr>
              <w:spacing w:before="0" w:after="0" w:line="278" w:lineRule="auto"/>
              <w:ind w:left="322" w:hanging="142"/>
              <w:contextualSpacing/>
              <w:textAlignment w:val="baseline"/>
              <w:rPr>
                <w:rFonts w:cs="Arial"/>
                <w:color w:val="000000"/>
                <w:sz w:val="20"/>
                <w:szCs w:val="20"/>
                <w:lang w:eastAsia="en-GB"/>
              </w:rPr>
            </w:pPr>
            <w:r w:rsidRPr="00AA4281">
              <w:rPr>
                <w:rFonts w:cs="Arial"/>
                <w:color w:val="000000"/>
                <w:sz w:val="20"/>
                <w:szCs w:val="20"/>
                <w:lang w:eastAsia="en-GB"/>
              </w:rPr>
              <w:t xml:space="preserve">Overhead % </w:t>
            </w:r>
          </w:p>
          <w:p w14:paraId="60D167A1" w14:textId="77777777" w:rsidR="00AA4281" w:rsidRPr="00AA4281" w:rsidRDefault="00AA4281" w:rsidP="00AA4281">
            <w:pPr>
              <w:numPr>
                <w:ilvl w:val="0"/>
                <w:numId w:val="24"/>
              </w:numPr>
              <w:spacing w:before="0" w:after="0" w:line="278" w:lineRule="auto"/>
              <w:ind w:left="322" w:hanging="142"/>
              <w:contextualSpacing/>
              <w:textAlignment w:val="baseline"/>
              <w:rPr>
                <w:rFonts w:cs="Arial"/>
                <w:color w:val="000000"/>
                <w:sz w:val="20"/>
                <w:szCs w:val="20"/>
                <w:lang w:eastAsia="en-GB"/>
              </w:rPr>
            </w:pPr>
            <w:r w:rsidRPr="00AA4281">
              <w:rPr>
                <w:rFonts w:cs="Arial"/>
                <w:color w:val="000000"/>
                <w:sz w:val="20"/>
                <w:szCs w:val="20"/>
                <w:lang w:eastAsia="en-GB"/>
              </w:rPr>
              <w:t>Profit %</w:t>
            </w:r>
          </w:p>
        </w:tc>
        <w:tc>
          <w:tcPr>
            <w:tcW w:w="1701" w:type="dxa"/>
            <w:tcBorders>
              <w:top w:val="single" w:sz="4" w:space="0" w:color="9E9E9E"/>
              <w:left w:val="single" w:sz="4" w:space="0" w:color="9E9E9E"/>
              <w:bottom w:val="single" w:sz="4" w:space="0" w:color="9E9E9E"/>
              <w:right w:val="single" w:sz="4" w:space="0" w:color="9E9E9E"/>
            </w:tcBorders>
            <w:tcMar>
              <w:top w:w="60" w:type="dxa"/>
              <w:left w:w="100" w:type="dxa"/>
              <w:bottom w:w="60" w:type="dxa"/>
              <w:right w:w="100" w:type="dxa"/>
            </w:tcMar>
            <w:vAlign w:val="center"/>
            <w:hideMark/>
          </w:tcPr>
          <w:p w14:paraId="5C817549" w14:textId="77777777" w:rsidR="00AA4281" w:rsidRPr="00AA4281" w:rsidRDefault="00AA4281" w:rsidP="00AA4281">
            <w:pPr>
              <w:spacing w:before="0" w:after="0"/>
              <w:textAlignment w:val="top"/>
              <w:rPr>
                <w:rFonts w:cs="Arial"/>
                <w:sz w:val="20"/>
                <w:szCs w:val="20"/>
                <w:lang w:eastAsia="en-GB"/>
              </w:rPr>
            </w:pPr>
            <w:r w:rsidRPr="00AA4281">
              <w:rPr>
                <w:rFonts w:cs="Arial"/>
                <w:color w:val="000000"/>
                <w:sz w:val="20"/>
                <w:szCs w:val="20"/>
                <w:lang w:eastAsia="en-GB"/>
              </w:rPr>
              <w:t>(</w:t>
            </w:r>
            <w:r w:rsidRPr="00AA4281">
              <w:rPr>
                <w:rFonts w:cs="Arial"/>
                <w:b/>
                <w:bCs/>
                <w:color w:val="000000"/>
                <w:sz w:val="20"/>
                <w:szCs w:val="20"/>
                <w:lang w:eastAsia="en-GB"/>
              </w:rPr>
              <w:t xml:space="preserve">15% </w:t>
            </w:r>
            <w:r w:rsidRPr="00AA4281">
              <w:rPr>
                <w:rFonts w:cs="Arial"/>
                <w:color w:val="000000"/>
                <w:sz w:val="20"/>
                <w:szCs w:val="20"/>
                <w:lang w:eastAsia="en-GB"/>
              </w:rPr>
              <w:t>of the total Evaluation)</w:t>
            </w:r>
          </w:p>
        </w:tc>
      </w:tr>
      <w:tr w:rsidR="00AA4281" w:rsidRPr="00AA4281" w14:paraId="4893F897" w14:textId="77777777" w:rsidTr="0066297D">
        <w:trPr>
          <w:trHeight w:val="607"/>
          <w:jc w:val="center"/>
        </w:trPr>
        <w:tc>
          <w:tcPr>
            <w:tcW w:w="1559" w:type="dxa"/>
            <w:tcBorders>
              <w:top w:val="single" w:sz="4" w:space="0" w:color="9E9E9E"/>
              <w:left w:val="single" w:sz="4" w:space="0" w:color="9E9E9E"/>
              <w:bottom w:val="single" w:sz="4" w:space="0" w:color="9E9E9E"/>
              <w:right w:val="single" w:sz="4" w:space="0" w:color="9E9E9E"/>
            </w:tcBorders>
            <w:tcMar>
              <w:top w:w="60" w:type="dxa"/>
              <w:left w:w="100" w:type="dxa"/>
              <w:bottom w:w="60" w:type="dxa"/>
              <w:right w:w="100" w:type="dxa"/>
            </w:tcMar>
            <w:vAlign w:val="center"/>
            <w:hideMark/>
          </w:tcPr>
          <w:p w14:paraId="7D7E3A89" w14:textId="77777777" w:rsidR="00AA4281" w:rsidRPr="00AA4281" w:rsidRDefault="00AA4281" w:rsidP="00AA4281">
            <w:pPr>
              <w:spacing w:before="0" w:after="0"/>
              <w:textAlignment w:val="top"/>
              <w:rPr>
                <w:rFonts w:cs="Arial"/>
                <w:sz w:val="20"/>
                <w:szCs w:val="20"/>
                <w:lang w:eastAsia="en-GB"/>
              </w:rPr>
            </w:pPr>
            <w:r w:rsidRPr="00AA4281">
              <w:rPr>
                <w:rFonts w:cs="Arial"/>
                <w:b/>
                <w:bCs/>
                <w:color w:val="000000"/>
                <w:sz w:val="20"/>
                <w:szCs w:val="20"/>
                <w:lang w:eastAsia="en-GB"/>
              </w:rPr>
              <w:t>Management Fee: Combined Profit and Overhead %s</w:t>
            </w:r>
          </w:p>
        </w:tc>
        <w:tc>
          <w:tcPr>
            <w:tcW w:w="2972" w:type="dxa"/>
            <w:tcBorders>
              <w:top w:val="single" w:sz="4" w:space="0" w:color="9E9E9E"/>
              <w:left w:val="single" w:sz="4" w:space="0" w:color="9E9E9E"/>
              <w:bottom w:val="single" w:sz="4" w:space="0" w:color="9E9E9E"/>
              <w:right w:val="single" w:sz="4" w:space="0" w:color="9E9E9E"/>
            </w:tcBorders>
            <w:tcMar>
              <w:top w:w="60" w:type="dxa"/>
              <w:left w:w="100" w:type="dxa"/>
              <w:bottom w:w="60" w:type="dxa"/>
              <w:right w:w="100" w:type="dxa"/>
            </w:tcMar>
            <w:vAlign w:val="center"/>
            <w:hideMark/>
          </w:tcPr>
          <w:p w14:paraId="6E989194" w14:textId="77777777" w:rsidR="00AA4281" w:rsidRPr="00AA4281" w:rsidRDefault="00AA4281" w:rsidP="00AA4281">
            <w:pPr>
              <w:spacing w:before="0" w:after="0"/>
              <w:textAlignment w:val="top"/>
              <w:rPr>
                <w:rFonts w:cs="Arial"/>
                <w:sz w:val="20"/>
                <w:szCs w:val="20"/>
                <w:lang w:eastAsia="en-GB"/>
              </w:rPr>
            </w:pPr>
            <w:r w:rsidRPr="00AA4281">
              <w:rPr>
                <w:rFonts w:cs="Arial"/>
                <w:color w:val="000000"/>
                <w:sz w:val="20"/>
                <w:szCs w:val="20"/>
                <w:lang w:eastAsia="en-GB"/>
              </w:rPr>
              <w:t>To set Bidders' proposed percentage for Profit and Overheads which will be applied throughout the life of the contract.</w:t>
            </w:r>
          </w:p>
        </w:tc>
        <w:tc>
          <w:tcPr>
            <w:tcW w:w="2977" w:type="dxa"/>
            <w:tcBorders>
              <w:top w:val="single" w:sz="4" w:space="0" w:color="9E9E9E"/>
              <w:left w:val="single" w:sz="4" w:space="0" w:color="9E9E9E"/>
              <w:bottom w:val="single" w:sz="4" w:space="0" w:color="9E9E9E"/>
              <w:right w:val="single" w:sz="4" w:space="0" w:color="9E9E9E"/>
            </w:tcBorders>
            <w:tcMar>
              <w:top w:w="60" w:type="dxa"/>
              <w:left w:w="100" w:type="dxa"/>
              <w:bottom w:w="60" w:type="dxa"/>
              <w:right w:w="100" w:type="dxa"/>
            </w:tcMar>
            <w:vAlign w:val="center"/>
            <w:hideMark/>
          </w:tcPr>
          <w:p w14:paraId="6E15C5B0" w14:textId="77777777" w:rsidR="00AA4281" w:rsidRPr="00AA4281" w:rsidRDefault="00AA4281" w:rsidP="00AA4281">
            <w:pPr>
              <w:spacing w:before="0" w:after="0"/>
              <w:textAlignment w:val="top"/>
              <w:rPr>
                <w:rFonts w:cs="Arial"/>
                <w:sz w:val="20"/>
                <w:szCs w:val="20"/>
                <w:lang w:eastAsia="en-GB"/>
              </w:rPr>
            </w:pPr>
            <w:r w:rsidRPr="00AA4281">
              <w:rPr>
                <w:rFonts w:cs="Arial"/>
                <w:color w:val="000000"/>
                <w:sz w:val="20"/>
                <w:szCs w:val="20"/>
                <w:lang w:eastAsia="en-GB"/>
              </w:rPr>
              <w:t>Bidders must state a separate Profit % and Overhead % which are added to create the Management Fee.</w:t>
            </w:r>
          </w:p>
        </w:tc>
        <w:tc>
          <w:tcPr>
            <w:tcW w:w="1701" w:type="dxa"/>
            <w:tcBorders>
              <w:top w:val="single" w:sz="4" w:space="0" w:color="9E9E9E"/>
              <w:left w:val="single" w:sz="4" w:space="0" w:color="9E9E9E"/>
              <w:bottom w:val="single" w:sz="4" w:space="0" w:color="9E9E9E"/>
              <w:right w:val="single" w:sz="4" w:space="0" w:color="9E9E9E"/>
            </w:tcBorders>
            <w:tcMar>
              <w:top w:w="60" w:type="dxa"/>
              <w:left w:w="100" w:type="dxa"/>
              <w:bottom w:w="60" w:type="dxa"/>
              <w:right w:w="100" w:type="dxa"/>
            </w:tcMar>
            <w:vAlign w:val="center"/>
            <w:hideMark/>
          </w:tcPr>
          <w:p w14:paraId="544DD291" w14:textId="77777777" w:rsidR="00AA4281" w:rsidRPr="00AA4281" w:rsidRDefault="00AA4281" w:rsidP="00AA4281">
            <w:pPr>
              <w:spacing w:before="0" w:after="0"/>
              <w:textAlignment w:val="top"/>
              <w:rPr>
                <w:rFonts w:cs="Arial"/>
                <w:sz w:val="20"/>
                <w:szCs w:val="20"/>
                <w:lang w:eastAsia="en-GB"/>
              </w:rPr>
            </w:pPr>
            <w:r w:rsidRPr="00AA4281">
              <w:rPr>
                <w:rFonts w:cs="Arial"/>
                <w:color w:val="000000"/>
                <w:sz w:val="20"/>
                <w:szCs w:val="20"/>
                <w:lang w:eastAsia="en-GB"/>
              </w:rPr>
              <w:t>(</w:t>
            </w:r>
            <w:r w:rsidRPr="00AA4281">
              <w:rPr>
                <w:rFonts w:cs="Arial"/>
                <w:b/>
                <w:bCs/>
                <w:color w:val="000000"/>
                <w:sz w:val="20"/>
                <w:szCs w:val="20"/>
                <w:lang w:eastAsia="en-GB"/>
              </w:rPr>
              <w:t>5%</w:t>
            </w:r>
            <w:r w:rsidRPr="00AA4281">
              <w:rPr>
                <w:rFonts w:cs="Arial"/>
                <w:color w:val="000000"/>
                <w:sz w:val="20"/>
                <w:szCs w:val="20"/>
                <w:lang w:eastAsia="en-GB"/>
              </w:rPr>
              <w:t xml:space="preserve"> of the total Evaluation)</w:t>
            </w:r>
          </w:p>
        </w:tc>
      </w:tr>
    </w:tbl>
    <w:p w14:paraId="78EC8F1C" w14:textId="5C3B4F60" w:rsidR="00FD4B1A" w:rsidRPr="00FD4B1A" w:rsidRDefault="00FD4B1A" w:rsidP="00FD4B1A">
      <w:pPr>
        <w:pStyle w:val="Caption"/>
      </w:pPr>
      <w:bookmarkStart w:id="10" w:name="_Toc200465988"/>
      <w:bookmarkStart w:id="11" w:name="_Toc200464094"/>
      <w:r>
        <w:t xml:space="preserve">Table </w:t>
      </w:r>
      <w:r>
        <w:fldChar w:fldCharType="begin"/>
      </w:r>
      <w:r>
        <w:instrText xml:space="preserve"> SEQ Table \* ARABIC </w:instrText>
      </w:r>
      <w:r>
        <w:fldChar w:fldCharType="separate"/>
      </w:r>
      <w:r w:rsidR="00FD481D">
        <w:rPr>
          <w:noProof/>
        </w:rPr>
        <w:t>1</w:t>
      </w:r>
      <w:r>
        <w:fldChar w:fldCharType="end"/>
      </w:r>
      <w:r>
        <w:t>: B</w:t>
      </w:r>
      <w:r w:rsidRPr="00FD4B1A">
        <w:t>id price competitiveness</w:t>
      </w:r>
      <w:r w:rsidR="00FC5A49">
        <w:t xml:space="preserve"> summary</w:t>
      </w:r>
      <w:bookmarkEnd w:id="10"/>
    </w:p>
    <w:p w14:paraId="65E5BB5F" w14:textId="742635D8" w:rsidR="00586791" w:rsidRDefault="00586791" w:rsidP="00586791">
      <w:pPr>
        <w:pStyle w:val="Heading21"/>
      </w:pPr>
      <w:r>
        <w:t>Task Order 0 &amp; 1 Price</w:t>
      </w:r>
      <w:bookmarkEnd w:id="11"/>
      <w:r>
        <w:t xml:space="preserve"> </w:t>
      </w:r>
    </w:p>
    <w:p w14:paraId="39522AD1" w14:textId="1641761B" w:rsidR="00586791" w:rsidRDefault="00586791" w:rsidP="00586791">
      <w:r>
        <w:t xml:space="preserve">A Task Order 0 &amp; 1 price will be generated </w:t>
      </w:r>
      <w:r w:rsidR="00432400">
        <w:t>during the procurement process by a Bidder</w:t>
      </w:r>
      <w:r>
        <w:t xml:space="preserve"> pricing a fixed resource schedule provided by the Client for evaluation purposes. The fixed resource schedule for each Task Order will state the roles/grades required along with the Clients' estimate of the number of days for each Task Order over a set duration (12 months and 6 months respectively) to enable Bidders' prices to be compared. Bidders will be required to propose the named person that they will assign to the contract filling the grade/role profiles provided in the fixed resource schedule and input their ‘Actual Salaries’. </w:t>
      </w:r>
    </w:p>
    <w:p w14:paraId="06DB03E0" w14:textId="77777777" w:rsidR="00586791" w:rsidRDefault="00586791" w:rsidP="00586791">
      <w:pPr>
        <w:pStyle w:val="Heading21"/>
      </w:pPr>
      <w:bookmarkStart w:id="12" w:name="_Toc200464095"/>
      <w:r>
        <w:t>Management Fee: Combined Profit % &amp; Overhead %</w:t>
      </w:r>
      <w:bookmarkEnd w:id="12"/>
      <w:r>
        <w:t xml:space="preserve"> </w:t>
      </w:r>
    </w:p>
    <w:p w14:paraId="1A1E431D" w14:textId="1B304BBE" w:rsidR="00610375" w:rsidRDefault="00586791" w:rsidP="00586791">
      <w:r>
        <w:t xml:space="preserve">The Management Fee will incorporate Bidders' profit and overhead proposals, which will be applied throughout the contract to subsequent cost reimbursable Task Orders. The Management Fee will be evaluated against other Bidders' proposed Management Fee. Additionally, the Management Fee will be applied to Task 0 &amp; 1 Actual Salaries to produce the </w:t>
      </w:r>
      <w:proofErr w:type="gramStart"/>
      <w:r>
        <w:t>Task</w:t>
      </w:r>
      <w:proofErr w:type="gramEnd"/>
      <w:r>
        <w:t xml:space="preserve"> 0 &amp; 1 price.</w:t>
      </w:r>
    </w:p>
    <w:p w14:paraId="2CBC6C69" w14:textId="77777777" w:rsidR="00600164" w:rsidRDefault="00600164" w:rsidP="00A241CB">
      <w:pPr>
        <w:pStyle w:val="Heading31"/>
      </w:pPr>
      <w:bookmarkStart w:id="13" w:name="_Toc200464096"/>
      <w:r>
        <w:t>Evaluation model used to compare bids and produce commercial evaluation scores</w:t>
      </w:r>
      <w:bookmarkEnd w:id="13"/>
      <w:r>
        <w:t xml:space="preserve"> </w:t>
      </w:r>
    </w:p>
    <w:p w14:paraId="5397CDDD" w14:textId="77777777" w:rsidR="00600164" w:rsidRDefault="00600164" w:rsidP="00600164">
      <w:r>
        <w:t xml:space="preserve">The proposed pricing evaluation model is 'Relative Pricing' for both the Task 0 &amp; 1 prices, and separately for the Management Fee % proposal. A cap is proposed for both price evaluation components: </w:t>
      </w:r>
    </w:p>
    <w:p w14:paraId="01C16956" w14:textId="28CC791E" w:rsidR="00600164" w:rsidRDefault="00600164" w:rsidP="00600164">
      <w:pPr>
        <w:pStyle w:val="ListParagraph"/>
        <w:numPr>
          <w:ilvl w:val="0"/>
          <w:numId w:val="25"/>
        </w:numPr>
      </w:pPr>
      <w:r w:rsidRPr="00555643">
        <w:rPr>
          <w:b/>
          <w:bCs/>
        </w:rPr>
        <w:t>Task 0 &amp; 1 Price cap:</w:t>
      </w:r>
      <w:r>
        <w:t xml:space="preserve"> Total fee to be capped at </w:t>
      </w:r>
      <w:r w:rsidRPr="00931B73">
        <w:rPr>
          <w:u w:val="single"/>
        </w:rPr>
        <w:t xml:space="preserve">2x the lowest technically acceptable Bidder's total for </w:t>
      </w:r>
      <w:proofErr w:type="gramStart"/>
      <w:r w:rsidRPr="00931B73">
        <w:rPr>
          <w:u w:val="single"/>
        </w:rPr>
        <w:t>Task</w:t>
      </w:r>
      <w:proofErr w:type="gramEnd"/>
      <w:r w:rsidRPr="00931B73">
        <w:rPr>
          <w:u w:val="single"/>
        </w:rPr>
        <w:t xml:space="preserve"> 0 &amp; 1 price. </w:t>
      </w:r>
    </w:p>
    <w:p w14:paraId="73F2B7BE" w14:textId="474F35C3" w:rsidR="00600164" w:rsidRDefault="00600164" w:rsidP="00600164">
      <w:pPr>
        <w:pStyle w:val="ListParagraph"/>
        <w:numPr>
          <w:ilvl w:val="0"/>
          <w:numId w:val="25"/>
        </w:numPr>
      </w:pPr>
      <w:r w:rsidRPr="00555643">
        <w:rPr>
          <w:b/>
          <w:bCs/>
        </w:rPr>
        <w:t>Management Fee % cap</w:t>
      </w:r>
      <w:r>
        <w:t xml:space="preserve">: The total Management Fee incorporating overheads and profit %s is to be capped at </w:t>
      </w:r>
      <w:r w:rsidRPr="00D20A1E">
        <w:rPr>
          <w:u w:val="single"/>
        </w:rPr>
        <w:t>2x the lowest technically acceptable Bidder’s Management Fee.</w:t>
      </w:r>
      <w:r>
        <w:t xml:space="preserve"> </w:t>
      </w:r>
    </w:p>
    <w:p w14:paraId="417FFA5F" w14:textId="77777777" w:rsidR="00600164" w:rsidRDefault="00600164" w:rsidP="00600164">
      <w:r>
        <w:t xml:space="preserve">Bidders that breach either of the identified caps will be awarded a score of zero % for the commercial evaluation (zero % out of 20% available). </w:t>
      </w:r>
    </w:p>
    <w:p w14:paraId="364347AB" w14:textId="69E083BE" w:rsidR="00586791" w:rsidRDefault="00600164" w:rsidP="00600164">
      <w:r>
        <w:t xml:space="preserve">Bidders that breach either of the identified caps and receive a commercial score of zero will </w:t>
      </w:r>
      <w:r w:rsidRPr="00931B73">
        <w:rPr>
          <w:b/>
          <w:bCs/>
        </w:rPr>
        <w:t>NOT</w:t>
      </w:r>
      <w:r>
        <w:t xml:space="preserve"> be excluded from the procurement for this reason.</w:t>
      </w:r>
    </w:p>
    <w:p w14:paraId="5C5B9340" w14:textId="77777777" w:rsidR="00004376" w:rsidRPr="00004376" w:rsidRDefault="00004376" w:rsidP="00004376">
      <w:pPr>
        <w:spacing w:before="0" w:after="227"/>
        <w:rPr>
          <w:rFonts w:eastAsia="Aptos" w:cs="Arial"/>
          <w:kern w:val="2"/>
          <w:sz w:val="24"/>
          <w14:ligatures w14:val="standardContextual"/>
        </w:rPr>
      </w:pPr>
      <w:r w:rsidRPr="00004376">
        <w:rPr>
          <w:rFonts w:eastAsia="Aptos" w:cs="Arial"/>
          <w:kern w:val="2"/>
          <w:sz w:val="24"/>
          <w14:ligatures w14:val="standardContextual"/>
        </w:rPr>
        <w:t xml:space="preserve">A simple summary of the Relative Pricing model which will be applied to Bidders' Task 0 &amp; 1 Price and Management Fee % proposals separately is as follows: </w:t>
      </w:r>
    </w:p>
    <w:p w14:paraId="402CD9E3" w14:textId="77777777" w:rsidR="00004376" w:rsidRPr="00004376" w:rsidRDefault="00004376" w:rsidP="00004376">
      <w:pPr>
        <w:spacing w:before="0" w:after="227"/>
        <w:rPr>
          <w:rFonts w:eastAsia="Aptos" w:cs="Arial"/>
          <w:kern w:val="2"/>
          <w:sz w:val="24"/>
          <w14:ligatures w14:val="standardContextual"/>
        </w:rPr>
      </w:pPr>
      <w:r w:rsidRPr="00004376">
        <w:rPr>
          <w:rFonts w:eastAsia="Aptos" w:cs="Arial"/>
          <w:noProof/>
          <w:kern w:val="2"/>
          <w:sz w:val="24"/>
          <w14:ligatures w14:val="standardContextual"/>
        </w:rPr>
        <w:drawing>
          <wp:anchor distT="0" distB="0" distL="114300" distR="114300" simplePos="0" relativeHeight="251658240" behindDoc="1" locked="0" layoutInCell="1" allowOverlap="1" wp14:anchorId="65562B54" wp14:editId="5995932F">
            <wp:simplePos x="0" y="0"/>
            <wp:positionH relativeFrom="column">
              <wp:posOffset>1648460</wp:posOffset>
            </wp:positionH>
            <wp:positionV relativeFrom="paragraph">
              <wp:posOffset>118110</wp:posOffset>
            </wp:positionV>
            <wp:extent cx="995422" cy="596491"/>
            <wp:effectExtent l="0" t="0" r="0" b="0"/>
            <wp:wrapNone/>
            <wp:docPr id="1732665788" name="Picture 1" descr="A black line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65788" name="Picture 1" descr="A black line with orange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5422" cy="596491"/>
                    </a:xfrm>
                    <a:prstGeom prst="rect">
                      <a:avLst/>
                    </a:prstGeom>
                  </pic:spPr>
                </pic:pic>
              </a:graphicData>
            </a:graphic>
            <wp14:sizeRelH relativeFrom="margin">
              <wp14:pctWidth>0</wp14:pctWidth>
            </wp14:sizeRelH>
            <wp14:sizeRelV relativeFrom="margin">
              <wp14:pctHeight>0</wp14:pctHeight>
            </wp14:sizeRelV>
          </wp:anchor>
        </w:drawing>
      </w:r>
    </w:p>
    <w:p w14:paraId="13AFB8ED" w14:textId="77777777" w:rsidR="00004376" w:rsidRPr="00004376" w:rsidRDefault="00004376" w:rsidP="00004376">
      <w:pPr>
        <w:spacing w:before="0" w:after="227"/>
        <w:rPr>
          <w:rFonts w:eastAsia="Aptos" w:cs="Arial"/>
          <w:kern w:val="2"/>
          <w:sz w:val="24"/>
          <w14:ligatures w14:val="standardContextual"/>
        </w:rPr>
      </w:pPr>
      <w:r w:rsidRPr="00004376">
        <w:rPr>
          <w:rFonts w:eastAsia="Aptos" w:cs="Arial"/>
          <w:kern w:val="2"/>
          <w:sz w:val="24"/>
          <w14:ligatures w14:val="standardContextual"/>
        </w:rPr>
        <w:t xml:space="preserve">Relative Price Score = </w:t>
      </w:r>
    </w:p>
    <w:p w14:paraId="57561F4F" w14:textId="77777777" w:rsidR="00004376" w:rsidRPr="00004376" w:rsidRDefault="00004376" w:rsidP="00004376">
      <w:pPr>
        <w:spacing w:before="0" w:after="227"/>
        <w:rPr>
          <w:rFonts w:eastAsia="Aptos" w:cs="Arial"/>
          <w:kern w:val="2"/>
          <w:sz w:val="24"/>
          <w14:ligatures w14:val="standardContextual"/>
        </w:rPr>
      </w:pPr>
    </w:p>
    <w:p w14:paraId="1DFBF0EB" w14:textId="39C5A674" w:rsidR="00004376" w:rsidRPr="00004376" w:rsidRDefault="00004376" w:rsidP="00004376">
      <w:pPr>
        <w:spacing w:before="0" w:after="160" w:line="278" w:lineRule="auto"/>
        <w:contextualSpacing/>
        <w:rPr>
          <w:rFonts w:eastAsia="Aptos" w:cs="Arial"/>
          <w:kern w:val="2"/>
          <w:sz w:val="24"/>
          <w14:ligatures w14:val="standardContextual"/>
        </w:rPr>
      </w:pPr>
      <w:r w:rsidRPr="00004376">
        <w:rPr>
          <w:rFonts w:eastAsia="Aptos" w:cs="Arial"/>
          <w:kern w:val="2"/>
          <w:sz w:val="24"/>
          <w14:ligatures w14:val="standardContextual"/>
        </w:rPr>
        <w:t>*‘Lowest Price’ refers to the lowest priced technically acceptable bid.</w:t>
      </w:r>
    </w:p>
    <w:p w14:paraId="78F2B468" w14:textId="77777777" w:rsidR="00EF1FFB" w:rsidRDefault="00EF1FFB" w:rsidP="00FD6C49">
      <w:pPr>
        <w:pStyle w:val="Heading11"/>
      </w:pPr>
      <w:bookmarkStart w:id="14" w:name="_Toc200464097"/>
      <w:r>
        <w:lastRenderedPageBreak/>
        <w:t>Subcontractors</w:t>
      </w:r>
      <w:bookmarkEnd w:id="14"/>
    </w:p>
    <w:p w14:paraId="6CD8491D" w14:textId="12000560" w:rsidR="00586791" w:rsidRDefault="00EF1FFB" w:rsidP="00EF1FFB">
      <w:r>
        <w:t>It is acknowledged that some Bidders wish to propose subcontractors to perform roles within Task 0 &amp; 1. Where this is the case, Bidders will be required to state the Sub-contract Rate (as detailed above) to which Profit % Fee shall be applied.</w:t>
      </w:r>
    </w:p>
    <w:p w14:paraId="21100510" w14:textId="77777777" w:rsidR="00832C15" w:rsidRPr="00565DFD" w:rsidRDefault="00832C15" w:rsidP="00565DFD">
      <w:pPr>
        <w:rPr>
          <w:rFonts w:eastAsia="Aptos"/>
        </w:rPr>
      </w:pPr>
    </w:p>
    <w:p w14:paraId="58322BCA" w14:textId="77777777" w:rsidR="0071305A" w:rsidRDefault="0071305A" w:rsidP="0071305A"/>
    <w:p w14:paraId="3F59B86C" w14:textId="77777777" w:rsidR="0071305A" w:rsidRDefault="0071305A" w:rsidP="0071305A"/>
    <w:p w14:paraId="049A9A55" w14:textId="77777777" w:rsidR="0071305A" w:rsidRPr="0071305A" w:rsidRDefault="0071305A" w:rsidP="0071305A"/>
    <w:p w14:paraId="19C2ECFA" w14:textId="77777777" w:rsidR="002C044B" w:rsidRDefault="002C044B" w:rsidP="002C044B"/>
    <w:p w14:paraId="3A057B0B" w14:textId="3A530006" w:rsidR="00427DDC" w:rsidRDefault="00BA47B8" w:rsidP="00362709">
      <w:pPr>
        <w:pStyle w:val="APPENDIXHEADING"/>
      </w:pPr>
      <w:bookmarkStart w:id="15" w:name="_Toc200464098"/>
      <w:r w:rsidRPr="00BA47B8">
        <w:lastRenderedPageBreak/>
        <w:t>A</w:t>
      </w:r>
      <w:r w:rsidR="004C3B47" w:rsidRPr="00BA47B8">
        <w:t>PPENDIX</w:t>
      </w:r>
      <w:r w:rsidRPr="00BA47B8">
        <w:t xml:space="preserve"> A – Cost Allocation Matrix</w:t>
      </w:r>
      <w:bookmarkEnd w:id="15"/>
    </w:p>
    <w:p w14:paraId="2FD636E8" w14:textId="6BCAA1C1" w:rsidR="00362709" w:rsidRDefault="00CB61F0" w:rsidP="00362709">
      <w:r w:rsidRPr="00CB61F0">
        <w:t>The matrix below outlines the proposed Allowable Cost, Overhead and Profit categorisations for use under the contract. Bidders are to structure the Management Fee proposal for the applicable Overhead % and Profit % based upon the identified allocations.</w:t>
      </w:r>
    </w:p>
    <w:p w14:paraId="072D490F" w14:textId="77777777" w:rsidR="00362709" w:rsidRDefault="00362709" w:rsidP="00362709"/>
    <w:p w14:paraId="208C1B71" w14:textId="1D2591C8" w:rsidR="00427DDC" w:rsidRDefault="00E029F5" w:rsidP="002C044B">
      <w:r w:rsidRPr="00B71B0C">
        <w:rPr>
          <w:rFonts w:eastAsia="Aptos"/>
          <w:noProof/>
          <w:kern w:val="2"/>
          <w:sz w:val="20"/>
          <w:szCs w:val="20"/>
          <w14:ligatures w14:val="standardContextual"/>
        </w:rPr>
        <w:drawing>
          <wp:inline distT="0" distB="0" distL="0" distR="0" wp14:anchorId="45565EE7" wp14:editId="601A2EB7">
            <wp:extent cx="6077585" cy="3192862"/>
            <wp:effectExtent l="0" t="0" r="0" b="7620"/>
            <wp:docPr id="9041231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23111" name="Picture 1" descr="A screenshot of a computer&#10;&#10;Description automatically generated"/>
                    <pic:cNvPicPr/>
                  </pic:nvPicPr>
                  <pic:blipFill>
                    <a:blip r:embed="rId20"/>
                    <a:stretch>
                      <a:fillRect/>
                    </a:stretch>
                  </pic:blipFill>
                  <pic:spPr>
                    <a:xfrm>
                      <a:off x="0" y="0"/>
                      <a:ext cx="6077585" cy="3192862"/>
                    </a:xfrm>
                    <a:prstGeom prst="rect">
                      <a:avLst/>
                    </a:prstGeom>
                  </pic:spPr>
                </pic:pic>
              </a:graphicData>
            </a:graphic>
          </wp:inline>
        </w:drawing>
      </w:r>
    </w:p>
    <w:p w14:paraId="7D7EA3EB" w14:textId="77777777" w:rsidR="00494F61" w:rsidRPr="00494F61" w:rsidRDefault="00494F61" w:rsidP="00494F61">
      <w:pPr>
        <w:spacing w:before="0" w:after="227"/>
        <w:rPr>
          <w:rFonts w:eastAsia="Arial" w:cs="Arial"/>
          <w:sz w:val="24"/>
          <w:lang w:eastAsia="en-GB"/>
        </w:rPr>
      </w:pPr>
      <w:r w:rsidRPr="00494F61">
        <w:rPr>
          <w:rFonts w:eastAsia="Aptos" w:cs="Arial"/>
          <w:kern w:val="2"/>
          <w:sz w:val="24"/>
          <w14:ligatures w14:val="standardContextual"/>
        </w:rPr>
        <w:t>Bidders are required to ensure that all costs that it wishes to recover outside of the Actual Salary of the employee (or equivalent subcontractor Actual Salary) are captured within the Management Fee.</w:t>
      </w:r>
    </w:p>
    <w:p w14:paraId="38449616" w14:textId="77777777" w:rsidR="00CB61F0" w:rsidRDefault="00CB61F0" w:rsidP="002C044B"/>
    <w:p w14:paraId="0F28BF2D" w14:textId="77777777" w:rsidR="00CB61F0" w:rsidRDefault="00CB61F0" w:rsidP="002C044B"/>
    <w:p w14:paraId="5250E552" w14:textId="77777777" w:rsidR="00CB61F0" w:rsidRPr="002C044B" w:rsidRDefault="00CB61F0" w:rsidP="002C044B"/>
    <w:sectPr w:rsidR="00CB61F0" w:rsidRPr="002C044B" w:rsidSect="00C12117">
      <w:headerReference w:type="first" r:id="rId21"/>
      <w:footerReference w:type="first" r:id="rId22"/>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4D73" w14:textId="77777777" w:rsidR="00F06FF4" w:rsidRDefault="00F06FF4" w:rsidP="00861618">
      <w:r>
        <w:separator/>
      </w:r>
    </w:p>
  </w:endnote>
  <w:endnote w:type="continuationSeparator" w:id="0">
    <w:p w14:paraId="01DCB85D" w14:textId="77777777" w:rsidR="00F06FF4" w:rsidRDefault="00F06FF4" w:rsidP="00861618">
      <w:r>
        <w:continuationSeparator/>
      </w:r>
    </w:p>
  </w:endnote>
  <w:endnote w:type="continuationNotice" w:id="1">
    <w:p w14:paraId="1AE981B5" w14:textId="77777777" w:rsidR="00F06FF4" w:rsidRDefault="00F06FF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07BDF078" w14:textId="77777777" w:rsidR="0052454A"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476ABEF1" w:rsidR="00F528D2" w:rsidRPr="000977F4" w:rsidRDefault="0052454A" w:rsidP="0052454A">
        <w:pPr>
          <w:pStyle w:val="Footer"/>
          <w:pBdr>
            <w:top w:val="single" w:sz="4" w:space="1" w:color="003629"/>
          </w:pBdr>
        </w:pPr>
        <w:r w:rsidRPr="0052454A">
          <w:t>GDF-NWS-SCDP-AXX-CC-CS-000017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F773B"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04EDA602" w:rsidR="00E209F6" w:rsidRDefault="0052454A" w:rsidP="00F11DC0">
    <w:pPr>
      <w:pStyle w:val="Footer"/>
      <w:tabs>
        <w:tab w:val="clear" w:pos="0"/>
      </w:tabs>
    </w:pPr>
    <w:r w:rsidRPr="0052454A">
      <w:t>GDF-NWS-SCDP-AXX-CC-CS-000017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8F89" w14:textId="77777777" w:rsidR="00F06FF4" w:rsidRDefault="00F06FF4" w:rsidP="00861618">
      <w:r>
        <w:separator/>
      </w:r>
    </w:p>
  </w:footnote>
  <w:footnote w:type="continuationSeparator" w:id="0">
    <w:p w14:paraId="2715A5CB" w14:textId="77777777" w:rsidR="00F06FF4" w:rsidRDefault="00F06FF4" w:rsidP="00861618">
      <w:r>
        <w:continuationSeparator/>
      </w:r>
    </w:p>
  </w:footnote>
  <w:footnote w:type="continuationNotice" w:id="1">
    <w:p w14:paraId="2787DC9A" w14:textId="77777777" w:rsidR="00F06FF4" w:rsidRDefault="00F06FF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40D1" w14:textId="77777777" w:rsidR="00AA6DE7" w:rsidRPr="00353A0E" w:rsidRDefault="00AA6DE7" w:rsidP="00DA6821">
    <w:pPr>
      <w:pStyle w:val="PROTECTIVEMARKING"/>
      <w:tabs>
        <w:tab w:val="clear" w:pos="4153"/>
        <w:tab w:val="clear" w:pos="8306"/>
      </w:tabs>
      <w:spacing w:before="0" w:after="0"/>
    </w:pPr>
  </w:p>
  <w:p w14:paraId="3C8043E1" w14:textId="34FED65C" w:rsidR="00F528D2" w:rsidRPr="00353A0E" w:rsidRDefault="00932B8D" w:rsidP="00DA6821">
    <w:pPr>
      <w:pStyle w:val="PROTECTIVEMARKING"/>
      <w:tabs>
        <w:tab w:val="clear" w:pos="4153"/>
        <w:tab w:val="clear" w:pos="8306"/>
      </w:tabs>
      <w:spacing w:before="0" w:after="0"/>
    </w:pPr>
    <w:r w:rsidRPr="00353A0E">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353A0E" w:rsidRPr="00353A0E">
      <w:rPr>
        <w:rFonts w:ascii="Calibri" w:eastAsia="Arial" w:hAnsi="Calibri" w:cs="Arial"/>
        <w:sz w:val="20"/>
        <w:szCs w:val="22"/>
      </w:rPr>
      <w:t xml:space="preserve"> </w:t>
    </w:r>
    <w:sdt>
      <w:sdtPr>
        <w:rPr>
          <w:rFonts w:ascii="Calibri" w:eastAsia="Arial" w:hAnsi="Calibri" w:cs="Arial"/>
          <w:sz w:val="20"/>
          <w:szCs w:val="22"/>
        </w:rPr>
        <w:tag w:val="Classification"/>
        <w:id w:val="-1759664817"/>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353A0E" w:rsidRPr="00353A0E">
          <w:rPr>
            <w:rFonts w:ascii="Calibri" w:eastAsia="Arial" w:hAnsi="Calibri" w:cs="Arial"/>
            <w:sz w:val="20"/>
            <w:szCs w:val="22"/>
          </w:rPr>
          <w:t>OFFICIAL: PUBLIC DRAFT FOR DISCUSSION</w:t>
        </w:r>
      </w:sdtContent>
    </w:sdt>
  </w:p>
  <w:p w14:paraId="62AEB0FD" w14:textId="5C2DC6B6" w:rsidR="00817737" w:rsidRDefault="002F5807" w:rsidP="009A6112">
    <w:pPr>
      <w:pStyle w:val="PROTECTIVEMARKING"/>
      <w:spacing w:before="0" w:after="0"/>
    </w:pPr>
    <w:r>
      <w:rPr>
        <w:caps w:val="0"/>
      </w:rPr>
      <w:t>S</w:t>
    </w:r>
    <w:r w:rsidR="00776765">
      <w:rPr>
        <w:caps w:val="0"/>
      </w:rPr>
      <w:t xml:space="preserve">ite </w:t>
    </w:r>
    <w:r>
      <w:rPr>
        <w:caps w:val="0"/>
      </w:rPr>
      <w:t>C</w:t>
    </w:r>
    <w:r w:rsidR="00776765">
      <w:rPr>
        <w:caps w:val="0"/>
      </w:rPr>
      <w:t xml:space="preserve">haracterisation Delivery </w:t>
    </w:r>
    <w:r>
      <w:rPr>
        <w:caps w:val="0"/>
      </w:rPr>
      <w:t>P</w:t>
    </w:r>
    <w:r w:rsidR="00776765">
      <w:rPr>
        <w:caps w:val="0"/>
      </w:rPr>
      <w:t>artner</w:t>
    </w:r>
  </w:p>
  <w:p w14:paraId="1D91AE19" w14:textId="55BC5B05" w:rsidR="00F528D2" w:rsidRDefault="000C6BED"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62344" behindDoc="0" locked="0" layoutInCell="1" allowOverlap="1" wp14:anchorId="35FCA582" wp14:editId="3286455C">
              <wp:simplePos x="0" y="0"/>
              <wp:positionH relativeFrom="margin">
                <wp:align>center</wp:align>
              </wp:positionH>
              <wp:positionV relativeFrom="paragraph">
                <wp:posOffset>2762250</wp:posOffset>
              </wp:positionV>
              <wp:extent cx="6134100" cy="3691268"/>
              <wp:effectExtent l="514350" t="1238250" r="457200" b="1242695"/>
              <wp:wrapNone/>
              <wp:docPr id="991948296"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53E36591" w14:textId="77777777" w:rsidR="000C6BED" w:rsidRPr="003B0027" w:rsidRDefault="000C6BED" w:rsidP="000C6BED">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5FCA582" id="_x0000_t202" coordsize="21600,21600" o:spt="202" path="m,l,21600r21600,l21600,xe">
              <v:stroke joinstyle="miter"/>
              <v:path gradientshapeok="t" o:connecttype="rect"/>
            </v:shapetype>
            <v:shape id="Text Box 1" o:spid="_x0000_s1027" type="#_x0000_t202" style="position:absolute;left:0;text-align:left;margin-left:0;margin-top:217.5pt;width:483pt;height:290.65pt;rotation:-1853689fd;z-index:251662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" fillcolor="white [3201]" stroked="f" strokeweight=".5pt">
              <v:textbox>
                <w:txbxContent>
                  <w:p w14:paraId="53E36591" w14:textId="77777777" w:rsidR="000C6BED" w:rsidRPr="003B0027" w:rsidRDefault="000C6BED" w:rsidP="000C6BED">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776765" w:rsidRPr="00776765">
      <w:rPr>
        <w:caps w:val="0"/>
      </w:rPr>
      <w:t>Pricing Approach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6416FB22"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353A0E">
          <w:rPr>
            <w:rFonts w:ascii="Calibri" w:eastAsia="Arial" w:hAnsi="Calibri" w:cs="Arial"/>
            <w:color w:val="FFFFFF"/>
            <w:sz w:val="20"/>
            <w:szCs w:val="22"/>
          </w:rPr>
          <w:t>OFFICIAL: PUBLIC DRAFT FOR DISCUSSION</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90AC9"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71DF" w14:textId="72EA6CB8" w:rsidR="00AA6DE7" w:rsidRPr="00353A0E" w:rsidRDefault="00135F2A"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360328323"/>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353A0E" w:rsidRPr="00353A0E">
          <w:rPr>
            <w:rFonts w:ascii="Calibri" w:eastAsia="Arial" w:hAnsi="Calibri" w:cs="Arial"/>
            <w:sz w:val="20"/>
            <w:szCs w:val="22"/>
          </w:rPr>
          <w:t>OFFICIAL: PUBLIC DRAFT FOR DISCUSSION</w:t>
        </w:r>
      </w:sdtContent>
    </w:sdt>
  </w:p>
  <w:p w14:paraId="4353C36C" w14:textId="61BFD7D7" w:rsidR="001F6748" w:rsidRDefault="00306616" w:rsidP="00C12117">
    <w:pPr>
      <w:pStyle w:val="PROTECTIVEMARKING"/>
      <w:tabs>
        <w:tab w:val="clear" w:pos="4153"/>
        <w:tab w:val="clear" w:pos="8306"/>
      </w:tabs>
      <w:spacing w:before="0" w:after="0"/>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0D52AF" w:rsidRPr="000D52AF">
      <w:rPr>
        <w:caps w:val="0"/>
      </w:rPr>
      <w:t>Site Characterisation Delivery Partner</w:t>
    </w:r>
  </w:p>
  <w:p w14:paraId="76E07139" w14:textId="3A4CD452" w:rsidR="001F6748" w:rsidRPr="00AA6DE7" w:rsidRDefault="000C6BED" w:rsidP="00AA6DE7">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60296" behindDoc="0" locked="0" layoutInCell="1" allowOverlap="1" wp14:anchorId="307A1067" wp14:editId="46E6C8E7">
              <wp:simplePos x="0" y="0"/>
              <wp:positionH relativeFrom="margin">
                <wp:align>center</wp:align>
              </wp:positionH>
              <wp:positionV relativeFrom="paragraph">
                <wp:posOffset>2886075</wp:posOffset>
              </wp:positionV>
              <wp:extent cx="6134100" cy="3691268"/>
              <wp:effectExtent l="514350" t="1238250" r="457200" b="124269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0EA3BB15" w14:textId="77777777" w:rsidR="000C6BED" w:rsidRPr="003B0027" w:rsidRDefault="000C6BED" w:rsidP="000C6BED">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7A1067" id="_x0000_t202" coordsize="21600,21600" o:spt="202" path="m,l,21600r21600,l21600,xe">
              <v:stroke joinstyle="miter"/>
              <v:path gradientshapeok="t" o:connecttype="rect"/>
            </v:shapetype>
            <v:shape id="_x0000_s1028" type="#_x0000_t202" style="position:absolute;left:0;text-align:left;margin-left:0;margin-top:227.25pt;width:483pt;height:290.65pt;rotation:-1853689fd;z-index:251660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" fillcolor="white [3201]" stroked="f" strokeweight=".5pt">
              <v:textbox>
                <w:txbxContent>
                  <w:p w14:paraId="0EA3BB15" w14:textId="77777777" w:rsidR="000C6BED" w:rsidRPr="003B0027" w:rsidRDefault="000C6BED" w:rsidP="000C6BED">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AA6DE7">
      <w:rPr>
        <w:caps w:val="0"/>
      </w:rPr>
      <w:t>Pricing Approach</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2"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258C"/>
    <w:multiLevelType w:val="multilevel"/>
    <w:tmpl w:val="6FF8F546"/>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90C8F"/>
    <w:multiLevelType w:val="hybridMultilevel"/>
    <w:tmpl w:val="DC5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9"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960D9"/>
    <w:multiLevelType w:val="hybridMultilevel"/>
    <w:tmpl w:val="141E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409D0"/>
    <w:multiLevelType w:val="hybridMultilevel"/>
    <w:tmpl w:val="35324F78"/>
    <w:lvl w:ilvl="0" w:tplc="BCF82176">
      <w:numFmt w:val="bullet"/>
      <w:lvlText w:val="-"/>
      <w:lvlJc w:val="left"/>
      <w:pPr>
        <w:ind w:left="720" w:hanging="360"/>
      </w:pPr>
      <w:rPr>
        <w:rFonts w:ascii="Aptos Display" w:eastAsia="Times New Roman" w:hAnsi="Aptos Display"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1"/>
  </w:num>
  <w:num w:numId="2" w16cid:durableId="1686244665">
    <w:abstractNumId w:val="8"/>
  </w:num>
  <w:num w:numId="3" w16cid:durableId="350959761">
    <w:abstractNumId w:val="3"/>
  </w:num>
  <w:num w:numId="4" w16cid:durableId="1911504495">
    <w:abstractNumId w:val="13"/>
  </w:num>
  <w:num w:numId="5" w16cid:durableId="761023313">
    <w:abstractNumId w:val="4"/>
  </w:num>
  <w:num w:numId="6" w16cid:durableId="438188059">
    <w:abstractNumId w:val="0"/>
  </w:num>
  <w:num w:numId="7" w16cid:durableId="1681422275">
    <w:abstractNumId w:val="11"/>
  </w:num>
  <w:num w:numId="8" w16cid:durableId="1168211383">
    <w:abstractNumId w:val="4"/>
    <w:lvlOverride w:ilvl="0">
      <w:startOverride w:val="1"/>
    </w:lvlOverride>
  </w:num>
  <w:num w:numId="9" w16cid:durableId="1165392222">
    <w:abstractNumId w:val="0"/>
    <w:lvlOverride w:ilvl="0">
      <w:startOverride w:val="1"/>
    </w:lvlOverride>
  </w:num>
  <w:num w:numId="10" w16cid:durableId="2142142101">
    <w:abstractNumId w:val="18"/>
  </w:num>
  <w:num w:numId="11" w16cid:durableId="1311400910">
    <w:abstractNumId w:val="5"/>
  </w:num>
  <w:num w:numId="12" w16cid:durableId="937755750">
    <w:abstractNumId w:val="15"/>
  </w:num>
  <w:num w:numId="13" w16cid:durableId="771361731">
    <w:abstractNumId w:val="12"/>
  </w:num>
  <w:num w:numId="14" w16cid:durableId="1546331949">
    <w:abstractNumId w:val="3"/>
  </w:num>
  <w:num w:numId="15" w16cid:durableId="1669021909">
    <w:abstractNumId w:val="3"/>
  </w:num>
  <w:num w:numId="16" w16cid:durableId="1475102441">
    <w:abstractNumId w:val="3"/>
  </w:num>
  <w:num w:numId="17" w16cid:durableId="593249786">
    <w:abstractNumId w:val="16"/>
  </w:num>
  <w:num w:numId="18" w16cid:durableId="2058770999">
    <w:abstractNumId w:val="9"/>
  </w:num>
  <w:num w:numId="19" w16cid:durableId="951325394">
    <w:abstractNumId w:val="17"/>
  </w:num>
  <w:num w:numId="20" w16cid:durableId="131675847">
    <w:abstractNumId w:val="2"/>
  </w:num>
  <w:num w:numId="21" w16cid:durableId="1684016332">
    <w:abstractNumId w:val="3"/>
  </w:num>
  <w:num w:numId="22" w16cid:durableId="2072804134">
    <w:abstractNumId w:val="7"/>
  </w:num>
  <w:num w:numId="23" w16cid:durableId="828718031">
    <w:abstractNumId w:val="6"/>
  </w:num>
  <w:num w:numId="24" w16cid:durableId="112406106">
    <w:abstractNumId w:val="14"/>
  </w:num>
  <w:num w:numId="25" w16cid:durableId="151322790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376"/>
    <w:rsid w:val="00004735"/>
    <w:rsid w:val="00004CBB"/>
    <w:rsid w:val="00005760"/>
    <w:rsid w:val="00005C45"/>
    <w:rsid w:val="0000638C"/>
    <w:rsid w:val="00006533"/>
    <w:rsid w:val="0000665E"/>
    <w:rsid w:val="00006828"/>
    <w:rsid w:val="000068A2"/>
    <w:rsid w:val="000075CE"/>
    <w:rsid w:val="00007AFA"/>
    <w:rsid w:val="00007D95"/>
    <w:rsid w:val="00010893"/>
    <w:rsid w:val="000109C3"/>
    <w:rsid w:val="00011C28"/>
    <w:rsid w:val="000123C1"/>
    <w:rsid w:val="00012C3A"/>
    <w:rsid w:val="000131B3"/>
    <w:rsid w:val="000134FE"/>
    <w:rsid w:val="00013DB7"/>
    <w:rsid w:val="00014BE4"/>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612"/>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6FF"/>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92E"/>
    <w:rsid w:val="00060E7E"/>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9FE"/>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4615"/>
    <w:rsid w:val="0008474A"/>
    <w:rsid w:val="00084CD8"/>
    <w:rsid w:val="000859A7"/>
    <w:rsid w:val="00085D80"/>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6487"/>
    <w:rsid w:val="000A7B77"/>
    <w:rsid w:val="000B0257"/>
    <w:rsid w:val="000B0ABB"/>
    <w:rsid w:val="000B0C23"/>
    <w:rsid w:val="000B0CE3"/>
    <w:rsid w:val="000B279C"/>
    <w:rsid w:val="000B2823"/>
    <w:rsid w:val="000B2A0B"/>
    <w:rsid w:val="000B3FB5"/>
    <w:rsid w:val="000B4584"/>
    <w:rsid w:val="000B4705"/>
    <w:rsid w:val="000B4BDB"/>
    <w:rsid w:val="000B4FAE"/>
    <w:rsid w:val="000B5499"/>
    <w:rsid w:val="000B5775"/>
    <w:rsid w:val="000B5891"/>
    <w:rsid w:val="000B60D0"/>
    <w:rsid w:val="000B623A"/>
    <w:rsid w:val="000B62A7"/>
    <w:rsid w:val="000B6A1A"/>
    <w:rsid w:val="000B6F8C"/>
    <w:rsid w:val="000B7DB3"/>
    <w:rsid w:val="000C08C7"/>
    <w:rsid w:val="000C09A1"/>
    <w:rsid w:val="000C109D"/>
    <w:rsid w:val="000C1470"/>
    <w:rsid w:val="000C1F7B"/>
    <w:rsid w:val="000C20D1"/>
    <w:rsid w:val="000C28CC"/>
    <w:rsid w:val="000C2C5C"/>
    <w:rsid w:val="000C3325"/>
    <w:rsid w:val="000C434E"/>
    <w:rsid w:val="000C439C"/>
    <w:rsid w:val="000C50C5"/>
    <w:rsid w:val="000C53D8"/>
    <w:rsid w:val="000C5B49"/>
    <w:rsid w:val="000C65E2"/>
    <w:rsid w:val="000C68BE"/>
    <w:rsid w:val="000C68BF"/>
    <w:rsid w:val="000C6BED"/>
    <w:rsid w:val="000C6C60"/>
    <w:rsid w:val="000C7236"/>
    <w:rsid w:val="000C759D"/>
    <w:rsid w:val="000D003E"/>
    <w:rsid w:val="000D1059"/>
    <w:rsid w:val="000D1D86"/>
    <w:rsid w:val="000D1F75"/>
    <w:rsid w:val="000D2DC1"/>
    <w:rsid w:val="000D37F6"/>
    <w:rsid w:val="000D3CB5"/>
    <w:rsid w:val="000D3EF3"/>
    <w:rsid w:val="000D48F0"/>
    <w:rsid w:val="000D4D45"/>
    <w:rsid w:val="000D4DEA"/>
    <w:rsid w:val="000D52AF"/>
    <w:rsid w:val="000D5935"/>
    <w:rsid w:val="000D5B03"/>
    <w:rsid w:val="000D5E63"/>
    <w:rsid w:val="000D66A4"/>
    <w:rsid w:val="000D7163"/>
    <w:rsid w:val="000D78D2"/>
    <w:rsid w:val="000D7D57"/>
    <w:rsid w:val="000DDE40"/>
    <w:rsid w:val="000E119F"/>
    <w:rsid w:val="000E1949"/>
    <w:rsid w:val="000E1B9E"/>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CF5"/>
    <w:rsid w:val="000F0328"/>
    <w:rsid w:val="000F0DBE"/>
    <w:rsid w:val="000F1456"/>
    <w:rsid w:val="000F1640"/>
    <w:rsid w:val="000F1919"/>
    <w:rsid w:val="000F1E4E"/>
    <w:rsid w:val="000F241F"/>
    <w:rsid w:val="000F3882"/>
    <w:rsid w:val="000F4330"/>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10A3"/>
    <w:rsid w:val="00111407"/>
    <w:rsid w:val="001116BC"/>
    <w:rsid w:val="00111823"/>
    <w:rsid w:val="001119DD"/>
    <w:rsid w:val="00112626"/>
    <w:rsid w:val="0011276A"/>
    <w:rsid w:val="001128D2"/>
    <w:rsid w:val="00112D5D"/>
    <w:rsid w:val="00112E51"/>
    <w:rsid w:val="00113531"/>
    <w:rsid w:val="00113A0F"/>
    <w:rsid w:val="00114332"/>
    <w:rsid w:val="00114CB2"/>
    <w:rsid w:val="00114FBA"/>
    <w:rsid w:val="00115702"/>
    <w:rsid w:val="00115E93"/>
    <w:rsid w:val="0011605A"/>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48F"/>
    <w:rsid w:val="00132A5E"/>
    <w:rsid w:val="0013312D"/>
    <w:rsid w:val="001344A3"/>
    <w:rsid w:val="00134649"/>
    <w:rsid w:val="001358F3"/>
    <w:rsid w:val="00135F2A"/>
    <w:rsid w:val="00136B6D"/>
    <w:rsid w:val="001379C7"/>
    <w:rsid w:val="00137CA5"/>
    <w:rsid w:val="00137D41"/>
    <w:rsid w:val="0014002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A73"/>
    <w:rsid w:val="00154C59"/>
    <w:rsid w:val="0015562F"/>
    <w:rsid w:val="00155965"/>
    <w:rsid w:val="00155A02"/>
    <w:rsid w:val="00155B21"/>
    <w:rsid w:val="00157070"/>
    <w:rsid w:val="00157520"/>
    <w:rsid w:val="001576E3"/>
    <w:rsid w:val="001602C3"/>
    <w:rsid w:val="001615DC"/>
    <w:rsid w:val="0016231C"/>
    <w:rsid w:val="00162535"/>
    <w:rsid w:val="00162C12"/>
    <w:rsid w:val="00164CE2"/>
    <w:rsid w:val="00164D1F"/>
    <w:rsid w:val="00165015"/>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E0C"/>
    <w:rsid w:val="00182E72"/>
    <w:rsid w:val="001833CA"/>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4214"/>
    <w:rsid w:val="001B47D0"/>
    <w:rsid w:val="001B4E69"/>
    <w:rsid w:val="001B4F0A"/>
    <w:rsid w:val="001B69E1"/>
    <w:rsid w:val="001B6A38"/>
    <w:rsid w:val="001C00EC"/>
    <w:rsid w:val="001C09FE"/>
    <w:rsid w:val="001C0FF5"/>
    <w:rsid w:val="001C1788"/>
    <w:rsid w:val="001C1CFE"/>
    <w:rsid w:val="001C1E85"/>
    <w:rsid w:val="001C2240"/>
    <w:rsid w:val="001C271A"/>
    <w:rsid w:val="001C280F"/>
    <w:rsid w:val="001C282A"/>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60D"/>
    <w:rsid w:val="001D682E"/>
    <w:rsid w:val="001D6965"/>
    <w:rsid w:val="001D6D31"/>
    <w:rsid w:val="001D7A39"/>
    <w:rsid w:val="001D7AA0"/>
    <w:rsid w:val="001D7EBC"/>
    <w:rsid w:val="001E0307"/>
    <w:rsid w:val="001E18E3"/>
    <w:rsid w:val="001E2B71"/>
    <w:rsid w:val="001E46F3"/>
    <w:rsid w:val="001E4BD1"/>
    <w:rsid w:val="001E4D06"/>
    <w:rsid w:val="001E5173"/>
    <w:rsid w:val="001E5AD9"/>
    <w:rsid w:val="001E6A2B"/>
    <w:rsid w:val="001E6A39"/>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09AA"/>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6F7C"/>
    <w:rsid w:val="002073C2"/>
    <w:rsid w:val="0020765C"/>
    <w:rsid w:val="0021028F"/>
    <w:rsid w:val="00211E9E"/>
    <w:rsid w:val="00212008"/>
    <w:rsid w:val="002120FB"/>
    <w:rsid w:val="002125EC"/>
    <w:rsid w:val="00212F9E"/>
    <w:rsid w:val="002140E8"/>
    <w:rsid w:val="00215158"/>
    <w:rsid w:val="00215817"/>
    <w:rsid w:val="0021592F"/>
    <w:rsid w:val="00215B7C"/>
    <w:rsid w:val="00216277"/>
    <w:rsid w:val="00216395"/>
    <w:rsid w:val="00217EE5"/>
    <w:rsid w:val="00220670"/>
    <w:rsid w:val="0022074D"/>
    <w:rsid w:val="00220A39"/>
    <w:rsid w:val="00220D5E"/>
    <w:rsid w:val="002213CB"/>
    <w:rsid w:val="00221454"/>
    <w:rsid w:val="00221FCF"/>
    <w:rsid w:val="00222567"/>
    <w:rsid w:val="002233E0"/>
    <w:rsid w:val="00223955"/>
    <w:rsid w:val="00223AE4"/>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7CE"/>
    <w:rsid w:val="00252AD8"/>
    <w:rsid w:val="002530AF"/>
    <w:rsid w:val="00253528"/>
    <w:rsid w:val="002538DF"/>
    <w:rsid w:val="00254335"/>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789"/>
    <w:rsid w:val="00275BB5"/>
    <w:rsid w:val="00275D0B"/>
    <w:rsid w:val="00275EBC"/>
    <w:rsid w:val="002767B5"/>
    <w:rsid w:val="00277904"/>
    <w:rsid w:val="00277EC7"/>
    <w:rsid w:val="00277F41"/>
    <w:rsid w:val="00280F10"/>
    <w:rsid w:val="00281BF9"/>
    <w:rsid w:val="00283457"/>
    <w:rsid w:val="00283B15"/>
    <w:rsid w:val="002848B4"/>
    <w:rsid w:val="00284E24"/>
    <w:rsid w:val="0028560F"/>
    <w:rsid w:val="002861C9"/>
    <w:rsid w:val="00286237"/>
    <w:rsid w:val="002873E5"/>
    <w:rsid w:val="002875D6"/>
    <w:rsid w:val="00287713"/>
    <w:rsid w:val="00287C5C"/>
    <w:rsid w:val="0029087B"/>
    <w:rsid w:val="00290F23"/>
    <w:rsid w:val="002915BF"/>
    <w:rsid w:val="0029183B"/>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2DA"/>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F56"/>
    <w:rsid w:val="002D653D"/>
    <w:rsid w:val="002D653F"/>
    <w:rsid w:val="002E092A"/>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361A"/>
    <w:rsid w:val="00303D1E"/>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AD3"/>
    <w:rsid w:val="00310F76"/>
    <w:rsid w:val="0031150B"/>
    <w:rsid w:val="003115CA"/>
    <w:rsid w:val="00311872"/>
    <w:rsid w:val="00311B3B"/>
    <w:rsid w:val="00311BA9"/>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A2C"/>
    <w:rsid w:val="00320B93"/>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1A4"/>
    <w:rsid w:val="003323C3"/>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3A0E"/>
    <w:rsid w:val="003543CA"/>
    <w:rsid w:val="0035566C"/>
    <w:rsid w:val="00355D3D"/>
    <w:rsid w:val="00356255"/>
    <w:rsid w:val="0035637C"/>
    <w:rsid w:val="003568F4"/>
    <w:rsid w:val="003569E6"/>
    <w:rsid w:val="00356E4A"/>
    <w:rsid w:val="00357BCF"/>
    <w:rsid w:val="0036045F"/>
    <w:rsid w:val="00360A32"/>
    <w:rsid w:val="00360A5E"/>
    <w:rsid w:val="00360D7F"/>
    <w:rsid w:val="003613AD"/>
    <w:rsid w:val="003617C0"/>
    <w:rsid w:val="00361FF5"/>
    <w:rsid w:val="0036203E"/>
    <w:rsid w:val="0036219B"/>
    <w:rsid w:val="00362709"/>
    <w:rsid w:val="00362ABC"/>
    <w:rsid w:val="00363795"/>
    <w:rsid w:val="0036393D"/>
    <w:rsid w:val="00363CF3"/>
    <w:rsid w:val="00364DFC"/>
    <w:rsid w:val="003661B6"/>
    <w:rsid w:val="00366CA5"/>
    <w:rsid w:val="003670B5"/>
    <w:rsid w:val="00367596"/>
    <w:rsid w:val="003679DF"/>
    <w:rsid w:val="00367E00"/>
    <w:rsid w:val="00367EE7"/>
    <w:rsid w:val="0037006B"/>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B87"/>
    <w:rsid w:val="00381C02"/>
    <w:rsid w:val="003828D3"/>
    <w:rsid w:val="003828FF"/>
    <w:rsid w:val="00382A64"/>
    <w:rsid w:val="00382AA2"/>
    <w:rsid w:val="00383BA9"/>
    <w:rsid w:val="00383C5B"/>
    <w:rsid w:val="00383EB8"/>
    <w:rsid w:val="0038434A"/>
    <w:rsid w:val="00384AA6"/>
    <w:rsid w:val="00384ADE"/>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157A"/>
    <w:rsid w:val="003A22EA"/>
    <w:rsid w:val="003A24F1"/>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455"/>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626"/>
    <w:rsid w:val="003D5D32"/>
    <w:rsid w:val="003D5E9B"/>
    <w:rsid w:val="003D5F07"/>
    <w:rsid w:val="003D688D"/>
    <w:rsid w:val="003D68C1"/>
    <w:rsid w:val="003D69C9"/>
    <w:rsid w:val="003D6BB0"/>
    <w:rsid w:val="003D721B"/>
    <w:rsid w:val="003D7CEC"/>
    <w:rsid w:val="003E0076"/>
    <w:rsid w:val="003E0FBD"/>
    <w:rsid w:val="003E1F4F"/>
    <w:rsid w:val="003E2DDC"/>
    <w:rsid w:val="003E3F93"/>
    <w:rsid w:val="003E4C31"/>
    <w:rsid w:val="003E4FE7"/>
    <w:rsid w:val="003E5CEC"/>
    <w:rsid w:val="003E60B8"/>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48DC"/>
    <w:rsid w:val="003F5C8D"/>
    <w:rsid w:val="003F5F35"/>
    <w:rsid w:val="003F6BD2"/>
    <w:rsid w:val="003F7400"/>
    <w:rsid w:val="00400AC1"/>
    <w:rsid w:val="00400BE7"/>
    <w:rsid w:val="004013BC"/>
    <w:rsid w:val="0040153B"/>
    <w:rsid w:val="00401F2C"/>
    <w:rsid w:val="0040273C"/>
    <w:rsid w:val="00404639"/>
    <w:rsid w:val="00404D26"/>
    <w:rsid w:val="00404D89"/>
    <w:rsid w:val="00404F99"/>
    <w:rsid w:val="004050D1"/>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A77"/>
    <w:rsid w:val="00432400"/>
    <w:rsid w:val="004324DD"/>
    <w:rsid w:val="00432AC2"/>
    <w:rsid w:val="00432B8E"/>
    <w:rsid w:val="00432EBD"/>
    <w:rsid w:val="0043325B"/>
    <w:rsid w:val="004333B1"/>
    <w:rsid w:val="004339A5"/>
    <w:rsid w:val="00433A36"/>
    <w:rsid w:val="0043415D"/>
    <w:rsid w:val="004349A8"/>
    <w:rsid w:val="004354FC"/>
    <w:rsid w:val="0043645E"/>
    <w:rsid w:val="00436A72"/>
    <w:rsid w:val="0043701A"/>
    <w:rsid w:val="004371BE"/>
    <w:rsid w:val="0043757F"/>
    <w:rsid w:val="0043769C"/>
    <w:rsid w:val="004377F2"/>
    <w:rsid w:val="00437DA3"/>
    <w:rsid w:val="004406FC"/>
    <w:rsid w:val="00440A58"/>
    <w:rsid w:val="00440F7C"/>
    <w:rsid w:val="004411CD"/>
    <w:rsid w:val="00441258"/>
    <w:rsid w:val="00441B4E"/>
    <w:rsid w:val="004430F6"/>
    <w:rsid w:val="00443D69"/>
    <w:rsid w:val="0044406F"/>
    <w:rsid w:val="004447D3"/>
    <w:rsid w:val="004454F7"/>
    <w:rsid w:val="00445FFD"/>
    <w:rsid w:val="00446CB5"/>
    <w:rsid w:val="00447D55"/>
    <w:rsid w:val="00447E31"/>
    <w:rsid w:val="00450047"/>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B6"/>
    <w:rsid w:val="00461145"/>
    <w:rsid w:val="004616FC"/>
    <w:rsid w:val="00461FF8"/>
    <w:rsid w:val="0046245F"/>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4F61"/>
    <w:rsid w:val="004952AF"/>
    <w:rsid w:val="004953F5"/>
    <w:rsid w:val="00495613"/>
    <w:rsid w:val="00495896"/>
    <w:rsid w:val="004958A2"/>
    <w:rsid w:val="00495B6C"/>
    <w:rsid w:val="00495E42"/>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47"/>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454A"/>
    <w:rsid w:val="00524A15"/>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D2B"/>
    <w:rsid w:val="00532F0C"/>
    <w:rsid w:val="00533E57"/>
    <w:rsid w:val="00534053"/>
    <w:rsid w:val="005348C5"/>
    <w:rsid w:val="005353B9"/>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31A2"/>
    <w:rsid w:val="005539EB"/>
    <w:rsid w:val="00553EF9"/>
    <w:rsid w:val="00554B7C"/>
    <w:rsid w:val="00555643"/>
    <w:rsid w:val="005561B4"/>
    <w:rsid w:val="005568E6"/>
    <w:rsid w:val="005569D8"/>
    <w:rsid w:val="00556C79"/>
    <w:rsid w:val="0055702E"/>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B52"/>
    <w:rsid w:val="00581DF1"/>
    <w:rsid w:val="00581E80"/>
    <w:rsid w:val="00582DBE"/>
    <w:rsid w:val="00583995"/>
    <w:rsid w:val="00583CAC"/>
    <w:rsid w:val="0058400E"/>
    <w:rsid w:val="0058435B"/>
    <w:rsid w:val="00584755"/>
    <w:rsid w:val="00585588"/>
    <w:rsid w:val="00585D9F"/>
    <w:rsid w:val="00586791"/>
    <w:rsid w:val="005868A4"/>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6E2A"/>
    <w:rsid w:val="005B7E60"/>
    <w:rsid w:val="005C07BE"/>
    <w:rsid w:val="005C18A2"/>
    <w:rsid w:val="005C19E4"/>
    <w:rsid w:val="005C22DA"/>
    <w:rsid w:val="005C2C6E"/>
    <w:rsid w:val="005C2D6F"/>
    <w:rsid w:val="005C3991"/>
    <w:rsid w:val="005C399C"/>
    <w:rsid w:val="005C3E77"/>
    <w:rsid w:val="005C3F23"/>
    <w:rsid w:val="005C3F86"/>
    <w:rsid w:val="005C43C7"/>
    <w:rsid w:val="005C59DE"/>
    <w:rsid w:val="005C71EE"/>
    <w:rsid w:val="005C7AB2"/>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8A7"/>
    <w:rsid w:val="005E4B95"/>
    <w:rsid w:val="005E4C75"/>
    <w:rsid w:val="005E4F78"/>
    <w:rsid w:val="005E51A2"/>
    <w:rsid w:val="005E5227"/>
    <w:rsid w:val="005E5AF6"/>
    <w:rsid w:val="005E5B6B"/>
    <w:rsid w:val="005E5C54"/>
    <w:rsid w:val="005E6A58"/>
    <w:rsid w:val="005E6D6E"/>
    <w:rsid w:val="005E7528"/>
    <w:rsid w:val="005F04A1"/>
    <w:rsid w:val="005F0A12"/>
    <w:rsid w:val="005F0AD6"/>
    <w:rsid w:val="005F1BDC"/>
    <w:rsid w:val="005F209E"/>
    <w:rsid w:val="005F2355"/>
    <w:rsid w:val="005F2472"/>
    <w:rsid w:val="005F285E"/>
    <w:rsid w:val="005F2C25"/>
    <w:rsid w:val="005F2CE5"/>
    <w:rsid w:val="005F3141"/>
    <w:rsid w:val="005F3399"/>
    <w:rsid w:val="005F3B2F"/>
    <w:rsid w:val="005F3D98"/>
    <w:rsid w:val="005F4513"/>
    <w:rsid w:val="005F4C4B"/>
    <w:rsid w:val="005F5CD2"/>
    <w:rsid w:val="005F6851"/>
    <w:rsid w:val="005F7B17"/>
    <w:rsid w:val="00600160"/>
    <w:rsid w:val="00600164"/>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375"/>
    <w:rsid w:val="00610451"/>
    <w:rsid w:val="006112CE"/>
    <w:rsid w:val="00611E4C"/>
    <w:rsid w:val="00611F09"/>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E2A"/>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98E"/>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1CF"/>
    <w:rsid w:val="00660FE2"/>
    <w:rsid w:val="00661240"/>
    <w:rsid w:val="0066179E"/>
    <w:rsid w:val="00661C27"/>
    <w:rsid w:val="006620C3"/>
    <w:rsid w:val="00662809"/>
    <w:rsid w:val="0066297D"/>
    <w:rsid w:val="00662A80"/>
    <w:rsid w:val="00662BA9"/>
    <w:rsid w:val="00662DC6"/>
    <w:rsid w:val="00662EF6"/>
    <w:rsid w:val="00663245"/>
    <w:rsid w:val="0066396A"/>
    <w:rsid w:val="006642BA"/>
    <w:rsid w:val="0066551B"/>
    <w:rsid w:val="00665DB8"/>
    <w:rsid w:val="00665E3E"/>
    <w:rsid w:val="00666CED"/>
    <w:rsid w:val="00667010"/>
    <w:rsid w:val="00667B3E"/>
    <w:rsid w:val="00667C85"/>
    <w:rsid w:val="0067033E"/>
    <w:rsid w:val="006704DA"/>
    <w:rsid w:val="00670AC4"/>
    <w:rsid w:val="00670D8B"/>
    <w:rsid w:val="00671002"/>
    <w:rsid w:val="006726F6"/>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3E"/>
    <w:rsid w:val="00684A15"/>
    <w:rsid w:val="006855B6"/>
    <w:rsid w:val="00686754"/>
    <w:rsid w:val="00686BCC"/>
    <w:rsid w:val="00687476"/>
    <w:rsid w:val="00687E13"/>
    <w:rsid w:val="006904BD"/>
    <w:rsid w:val="00690848"/>
    <w:rsid w:val="00690955"/>
    <w:rsid w:val="00691CA8"/>
    <w:rsid w:val="00691D33"/>
    <w:rsid w:val="00691F93"/>
    <w:rsid w:val="0069207D"/>
    <w:rsid w:val="006920E3"/>
    <w:rsid w:val="006930CF"/>
    <w:rsid w:val="00693DAA"/>
    <w:rsid w:val="00694B76"/>
    <w:rsid w:val="00695002"/>
    <w:rsid w:val="0069559F"/>
    <w:rsid w:val="0069566F"/>
    <w:rsid w:val="0069580D"/>
    <w:rsid w:val="00695F70"/>
    <w:rsid w:val="00695FB1"/>
    <w:rsid w:val="00696F8A"/>
    <w:rsid w:val="00697567"/>
    <w:rsid w:val="006A037C"/>
    <w:rsid w:val="006A0ABC"/>
    <w:rsid w:val="006A1213"/>
    <w:rsid w:val="006A1923"/>
    <w:rsid w:val="006A2510"/>
    <w:rsid w:val="006A2ECF"/>
    <w:rsid w:val="006A30B0"/>
    <w:rsid w:val="006A3234"/>
    <w:rsid w:val="006A343B"/>
    <w:rsid w:val="006A378F"/>
    <w:rsid w:val="006A3BFB"/>
    <w:rsid w:val="006A428E"/>
    <w:rsid w:val="006A4734"/>
    <w:rsid w:val="006A689E"/>
    <w:rsid w:val="006A6948"/>
    <w:rsid w:val="006A712D"/>
    <w:rsid w:val="006B0029"/>
    <w:rsid w:val="006B0DBE"/>
    <w:rsid w:val="006B2166"/>
    <w:rsid w:val="006B2C2B"/>
    <w:rsid w:val="006B537C"/>
    <w:rsid w:val="006B6B00"/>
    <w:rsid w:val="006B6D96"/>
    <w:rsid w:val="006B7641"/>
    <w:rsid w:val="006B7A95"/>
    <w:rsid w:val="006C098A"/>
    <w:rsid w:val="006C0C89"/>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9CB"/>
    <w:rsid w:val="006D2B89"/>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128"/>
    <w:rsid w:val="006E38A3"/>
    <w:rsid w:val="006E3919"/>
    <w:rsid w:val="006E3FEA"/>
    <w:rsid w:val="006E4096"/>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2C6"/>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4774"/>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874"/>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21B"/>
    <w:rsid w:val="007473CF"/>
    <w:rsid w:val="00747811"/>
    <w:rsid w:val="00747CC2"/>
    <w:rsid w:val="007515F1"/>
    <w:rsid w:val="007518F9"/>
    <w:rsid w:val="00752044"/>
    <w:rsid w:val="007522D0"/>
    <w:rsid w:val="0075249A"/>
    <w:rsid w:val="00752E1C"/>
    <w:rsid w:val="00753086"/>
    <w:rsid w:val="0075369E"/>
    <w:rsid w:val="00753708"/>
    <w:rsid w:val="0075473B"/>
    <w:rsid w:val="00754E51"/>
    <w:rsid w:val="00754EE3"/>
    <w:rsid w:val="007552BC"/>
    <w:rsid w:val="007555E0"/>
    <w:rsid w:val="00755DEA"/>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E3D"/>
    <w:rsid w:val="00774008"/>
    <w:rsid w:val="00774207"/>
    <w:rsid w:val="007744FF"/>
    <w:rsid w:val="00774A6D"/>
    <w:rsid w:val="00775C79"/>
    <w:rsid w:val="00775C9A"/>
    <w:rsid w:val="007766AF"/>
    <w:rsid w:val="00776765"/>
    <w:rsid w:val="007769EE"/>
    <w:rsid w:val="00776A1A"/>
    <w:rsid w:val="00776DD0"/>
    <w:rsid w:val="00776FCF"/>
    <w:rsid w:val="007773E8"/>
    <w:rsid w:val="007801DB"/>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FF1"/>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4064"/>
    <w:rsid w:val="007B4191"/>
    <w:rsid w:val="007B4E3E"/>
    <w:rsid w:val="007B4F37"/>
    <w:rsid w:val="007B50B3"/>
    <w:rsid w:val="007B5362"/>
    <w:rsid w:val="007B54E1"/>
    <w:rsid w:val="007B5B9D"/>
    <w:rsid w:val="007B6287"/>
    <w:rsid w:val="007B64AB"/>
    <w:rsid w:val="007B689A"/>
    <w:rsid w:val="007B6C61"/>
    <w:rsid w:val="007B7958"/>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4DE0"/>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7AD"/>
    <w:rsid w:val="008137C6"/>
    <w:rsid w:val="00813BF1"/>
    <w:rsid w:val="00814382"/>
    <w:rsid w:val="008143E3"/>
    <w:rsid w:val="0081453D"/>
    <w:rsid w:val="008145FB"/>
    <w:rsid w:val="00814EE3"/>
    <w:rsid w:val="00815641"/>
    <w:rsid w:val="00815703"/>
    <w:rsid w:val="00816DFD"/>
    <w:rsid w:val="00817737"/>
    <w:rsid w:val="008204FE"/>
    <w:rsid w:val="0082073E"/>
    <w:rsid w:val="0082085F"/>
    <w:rsid w:val="0082159C"/>
    <w:rsid w:val="00821DA7"/>
    <w:rsid w:val="00824300"/>
    <w:rsid w:val="00824536"/>
    <w:rsid w:val="00824AF4"/>
    <w:rsid w:val="008254C3"/>
    <w:rsid w:val="0082673A"/>
    <w:rsid w:val="008267D4"/>
    <w:rsid w:val="00826D8D"/>
    <w:rsid w:val="0082727B"/>
    <w:rsid w:val="0082765C"/>
    <w:rsid w:val="008277DC"/>
    <w:rsid w:val="00827E9A"/>
    <w:rsid w:val="00830913"/>
    <w:rsid w:val="0083106E"/>
    <w:rsid w:val="008310FD"/>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3141"/>
    <w:rsid w:val="00873AB5"/>
    <w:rsid w:val="00873EEC"/>
    <w:rsid w:val="00873EFA"/>
    <w:rsid w:val="0087440A"/>
    <w:rsid w:val="00874B03"/>
    <w:rsid w:val="00874D51"/>
    <w:rsid w:val="00874DF0"/>
    <w:rsid w:val="008753C0"/>
    <w:rsid w:val="008771D6"/>
    <w:rsid w:val="00877227"/>
    <w:rsid w:val="00877581"/>
    <w:rsid w:val="00880B58"/>
    <w:rsid w:val="008812E0"/>
    <w:rsid w:val="0088143B"/>
    <w:rsid w:val="008815D5"/>
    <w:rsid w:val="00881F10"/>
    <w:rsid w:val="0088255D"/>
    <w:rsid w:val="00882B3D"/>
    <w:rsid w:val="00882F65"/>
    <w:rsid w:val="00883877"/>
    <w:rsid w:val="008839DF"/>
    <w:rsid w:val="00883C54"/>
    <w:rsid w:val="008856E8"/>
    <w:rsid w:val="00885723"/>
    <w:rsid w:val="008857E5"/>
    <w:rsid w:val="00885CB4"/>
    <w:rsid w:val="00885D6E"/>
    <w:rsid w:val="00885DB8"/>
    <w:rsid w:val="00886401"/>
    <w:rsid w:val="00886B24"/>
    <w:rsid w:val="00886C98"/>
    <w:rsid w:val="00886F69"/>
    <w:rsid w:val="0088787C"/>
    <w:rsid w:val="00887D7E"/>
    <w:rsid w:val="00887E8C"/>
    <w:rsid w:val="0089045A"/>
    <w:rsid w:val="008908A9"/>
    <w:rsid w:val="0089193E"/>
    <w:rsid w:val="00891AB6"/>
    <w:rsid w:val="00891FC2"/>
    <w:rsid w:val="00891FFF"/>
    <w:rsid w:val="008921D1"/>
    <w:rsid w:val="00892225"/>
    <w:rsid w:val="008922ED"/>
    <w:rsid w:val="00892318"/>
    <w:rsid w:val="0089320A"/>
    <w:rsid w:val="00893403"/>
    <w:rsid w:val="00893520"/>
    <w:rsid w:val="00893C7F"/>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4649"/>
    <w:rsid w:val="008B4BA4"/>
    <w:rsid w:val="008B4D3C"/>
    <w:rsid w:val="008B668E"/>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5E74"/>
    <w:rsid w:val="008D6726"/>
    <w:rsid w:val="008D74DE"/>
    <w:rsid w:val="008E04A0"/>
    <w:rsid w:val="008E0A5B"/>
    <w:rsid w:val="008E0E0D"/>
    <w:rsid w:val="008E0FE7"/>
    <w:rsid w:val="008E10B0"/>
    <w:rsid w:val="008E17B9"/>
    <w:rsid w:val="008E1A61"/>
    <w:rsid w:val="008E1CD6"/>
    <w:rsid w:val="008E2648"/>
    <w:rsid w:val="008E3570"/>
    <w:rsid w:val="008E41EC"/>
    <w:rsid w:val="008E4678"/>
    <w:rsid w:val="008E4B7E"/>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6BC0"/>
    <w:rsid w:val="0090770E"/>
    <w:rsid w:val="0090784A"/>
    <w:rsid w:val="00907C9D"/>
    <w:rsid w:val="00910149"/>
    <w:rsid w:val="00910571"/>
    <w:rsid w:val="0091063F"/>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5414"/>
    <w:rsid w:val="0092570A"/>
    <w:rsid w:val="00926387"/>
    <w:rsid w:val="009271AB"/>
    <w:rsid w:val="009274A8"/>
    <w:rsid w:val="009307F7"/>
    <w:rsid w:val="00930CBA"/>
    <w:rsid w:val="00930D66"/>
    <w:rsid w:val="00931483"/>
    <w:rsid w:val="00931879"/>
    <w:rsid w:val="00931B73"/>
    <w:rsid w:val="00932B8D"/>
    <w:rsid w:val="0093308B"/>
    <w:rsid w:val="009342E8"/>
    <w:rsid w:val="0093460C"/>
    <w:rsid w:val="009349FF"/>
    <w:rsid w:val="00934AF3"/>
    <w:rsid w:val="009354B9"/>
    <w:rsid w:val="0093573D"/>
    <w:rsid w:val="00935B07"/>
    <w:rsid w:val="00936F75"/>
    <w:rsid w:val="00937220"/>
    <w:rsid w:val="00937238"/>
    <w:rsid w:val="0093753A"/>
    <w:rsid w:val="00937A4A"/>
    <w:rsid w:val="00937C98"/>
    <w:rsid w:val="009400EE"/>
    <w:rsid w:val="0094092F"/>
    <w:rsid w:val="00940CF3"/>
    <w:rsid w:val="009410F0"/>
    <w:rsid w:val="0094150D"/>
    <w:rsid w:val="00941E2A"/>
    <w:rsid w:val="009425FD"/>
    <w:rsid w:val="00942994"/>
    <w:rsid w:val="00942C63"/>
    <w:rsid w:val="009432FC"/>
    <w:rsid w:val="00944908"/>
    <w:rsid w:val="009449B1"/>
    <w:rsid w:val="009451E5"/>
    <w:rsid w:val="0094529D"/>
    <w:rsid w:val="00945A41"/>
    <w:rsid w:val="009463D4"/>
    <w:rsid w:val="009464C0"/>
    <w:rsid w:val="009466D9"/>
    <w:rsid w:val="00946A84"/>
    <w:rsid w:val="009476C5"/>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70FF"/>
    <w:rsid w:val="009576E1"/>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0F9"/>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130A"/>
    <w:rsid w:val="00991A57"/>
    <w:rsid w:val="00991F15"/>
    <w:rsid w:val="00991FD1"/>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BB3"/>
    <w:rsid w:val="009C1DBA"/>
    <w:rsid w:val="009C266A"/>
    <w:rsid w:val="009C26CE"/>
    <w:rsid w:val="009C2768"/>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3A66"/>
    <w:rsid w:val="009E4432"/>
    <w:rsid w:val="009E5178"/>
    <w:rsid w:val="009E59AF"/>
    <w:rsid w:val="009E59E5"/>
    <w:rsid w:val="009E5E3A"/>
    <w:rsid w:val="009E691A"/>
    <w:rsid w:val="009E79CC"/>
    <w:rsid w:val="009E7D6B"/>
    <w:rsid w:val="009F05A8"/>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4F19"/>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41CB"/>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2B4"/>
    <w:rsid w:val="00A354A5"/>
    <w:rsid w:val="00A363F2"/>
    <w:rsid w:val="00A3694C"/>
    <w:rsid w:val="00A36B26"/>
    <w:rsid w:val="00A36D51"/>
    <w:rsid w:val="00A36E27"/>
    <w:rsid w:val="00A3750E"/>
    <w:rsid w:val="00A37C53"/>
    <w:rsid w:val="00A40654"/>
    <w:rsid w:val="00A40DA1"/>
    <w:rsid w:val="00A41034"/>
    <w:rsid w:val="00A41A34"/>
    <w:rsid w:val="00A426E0"/>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2A5E"/>
    <w:rsid w:val="00A53299"/>
    <w:rsid w:val="00A532BD"/>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3D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77CFC"/>
    <w:rsid w:val="00A8326F"/>
    <w:rsid w:val="00A83FA8"/>
    <w:rsid w:val="00A84384"/>
    <w:rsid w:val="00A8465A"/>
    <w:rsid w:val="00A8486F"/>
    <w:rsid w:val="00A84EF8"/>
    <w:rsid w:val="00A851AB"/>
    <w:rsid w:val="00A859B0"/>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4281"/>
    <w:rsid w:val="00AA51B3"/>
    <w:rsid w:val="00AA547B"/>
    <w:rsid w:val="00AA569A"/>
    <w:rsid w:val="00AA5790"/>
    <w:rsid w:val="00AA5C6D"/>
    <w:rsid w:val="00AA62D5"/>
    <w:rsid w:val="00AA6DE7"/>
    <w:rsid w:val="00AA74AF"/>
    <w:rsid w:val="00AB0963"/>
    <w:rsid w:val="00AB0EDE"/>
    <w:rsid w:val="00AB1239"/>
    <w:rsid w:val="00AB1FB7"/>
    <w:rsid w:val="00AB2644"/>
    <w:rsid w:val="00AB3075"/>
    <w:rsid w:val="00AB3BD2"/>
    <w:rsid w:val="00AB3E54"/>
    <w:rsid w:val="00AB3F27"/>
    <w:rsid w:val="00AB4365"/>
    <w:rsid w:val="00AB45F4"/>
    <w:rsid w:val="00AB4608"/>
    <w:rsid w:val="00AB4B01"/>
    <w:rsid w:val="00AB4B35"/>
    <w:rsid w:val="00AB4D7E"/>
    <w:rsid w:val="00AB5494"/>
    <w:rsid w:val="00AB5576"/>
    <w:rsid w:val="00AB6314"/>
    <w:rsid w:val="00AB6D0B"/>
    <w:rsid w:val="00AB6FDD"/>
    <w:rsid w:val="00AB7CD3"/>
    <w:rsid w:val="00AC032B"/>
    <w:rsid w:val="00AC096E"/>
    <w:rsid w:val="00AC1186"/>
    <w:rsid w:val="00AC1690"/>
    <w:rsid w:val="00AC1CE3"/>
    <w:rsid w:val="00AC23C9"/>
    <w:rsid w:val="00AC2C4E"/>
    <w:rsid w:val="00AC33B2"/>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7376"/>
    <w:rsid w:val="00AD73D3"/>
    <w:rsid w:val="00AD77C5"/>
    <w:rsid w:val="00AD7D09"/>
    <w:rsid w:val="00AE022D"/>
    <w:rsid w:val="00AE08A2"/>
    <w:rsid w:val="00AE141F"/>
    <w:rsid w:val="00AE1A73"/>
    <w:rsid w:val="00AE277A"/>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17802"/>
    <w:rsid w:val="00B20D2F"/>
    <w:rsid w:val="00B21097"/>
    <w:rsid w:val="00B2171D"/>
    <w:rsid w:val="00B2173D"/>
    <w:rsid w:val="00B21D5E"/>
    <w:rsid w:val="00B21D7C"/>
    <w:rsid w:val="00B22705"/>
    <w:rsid w:val="00B231B3"/>
    <w:rsid w:val="00B24941"/>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54DE"/>
    <w:rsid w:val="00B36CFF"/>
    <w:rsid w:val="00B36F2E"/>
    <w:rsid w:val="00B371BB"/>
    <w:rsid w:val="00B376B3"/>
    <w:rsid w:val="00B404B1"/>
    <w:rsid w:val="00B41599"/>
    <w:rsid w:val="00B41743"/>
    <w:rsid w:val="00B417C8"/>
    <w:rsid w:val="00B417DE"/>
    <w:rsid w:val="00B422EA"/>
    <w:rsid w:val="00B4231E"/>
    <w:rsid w:val="00B423F2"/>
    <w:rsid w:val="00B42651"/>
    <w:rsid w:val="00B42802"/>
    <w:rsid w:val="00B42C4E"/>
    <w:rsid w:val="00B430FD"/>
    <w:rsid w:val="00B4345D"/>
    <w:rsid w:val="00B44A5B"/>
    <w:rsid w:val="00B46324"/>
    <w:rsid w:val="00B46D60"/>
    <w:rsid w:val="00B47828"/>
    <w:rsid w:val="00B47A66"/>
    <w:rsid w:val="00B50190"/>
    <w:rsid w:val="00B5064A"/>
    <w:rsid w:val="00B508A0"/>
    <w:rsid w:val="00B50DBD"/>
    <w:rsid w:val="00B50EC1"/>
    <w:rsid w:val="00B5111D"/>
    <w:rsid w:val="00B5174D"/>
    <w:rsid w:val="00B51AB4"/>
    <w:rsid w:val="00B526D2"/>
    <w:rsid w:val="00B52A6A"/>
    <w:rsid w:val="00B52D36"/>
    <w:rsid w:val="00B53C5A"/>
    <w:rsid w:val="00B53EFD"/>
    <w:rsid w:val="00B544FE"/>
    <w:rsid w:val="00B54C1E"/>
    <w:rsid w:val="00B555F5"/>
    <w:rsid w:val="00B55835"/>
    <w:rsid w:val="00B5669F"/>
    <w:rsid w:val="00B60055"/>
    <w:rsid w:val="00B60533"/>
    <w:rsid w:val="00B60689"/>
    <w:rsid w:val="00B607EA"/>
    <w:rsid w:val="00B60BA6"/>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318D"/>
    <w:rsid w:val="00B93E94"/>
    <w:rsid w:val="00B941E8"/>
    <w:rsid w:val="00B94371"/>
    <w:rsid w:val="00B94518"/>
    <w:rsid w:val="00B9514E"/>
    <w:rsid w:val="00B95D18"/>
    <w:rsid w:val="00B95EDA"/>
    <w:rsid w:val="00B9600C"/>
    <w:rsid w:val="00B96112"/>
    <w:rsid w:val="00B9629D"/>
    <w:rsid w:val="00B962CE"/>
    <w:rsid w:val="00B963E5"/>
    <w:rsid w:val="00B9641F"/>
    <w:rsid w:val="00B965D4"/>
    <w:rsid w:val="00B97457"/>
    <w:rsid w:val="00B97858"/>
    <w:rsid w:val="00BA1495"/>
    <w:rsid w:val="00BA1712"/>
    <w:rsid w:val="00BA1A08"/>
    <w:rsid w:val="00BA1DBE"/>
    <w:rsid w:val="00BA22DD"/>
    <w:rsid w:val="00BA3236"/>
    <w:rsid w:val="00BA46CE"/>
    <w:rsid w:val="00BA474D"/>
    <w:rsid w:val="00BA47B8"/>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866"/>
    <w:rsid w:val="00BB0ED5"/>
    <w:rsid w:val="00BB1FDE"/>
    <w:rsid w:val="00BB27E6"/>
    <w:rsid w:val="00BB46B1"/>
    <w:rsid w:val="00BB4A61"/>
    <w:rsid w:val="00BB4AB0"/>
    <w:rsid w:val="00BB542B"/>
    <w:rsid w:val="00BB5741"/>
    <w:rsid w:val="00BB5A21"/>
    <w:rsid w:val="00BB5B90"/>
    <w:rsid w:val="00BB5C88"/>
    <w:rsid w:val="00BB5F2B"/>
    <w:rsid w:val="00BB6375"/>
    <w:rsid w:val="00BB6896"/>
    <w:rsid w:val="00BB71F0"/>
    <w:rsid w:val="00BB7495"/>
    <w:rsid w:val="00BC1C2E"/>
    <w:rsid w:val="00BC27E7"/>
    <w:rsid w:val="00BC3846"/>
    <w:rsid w:val="00BC3A32"/>
    <w:rsid w:val="00BC4DD8"/>
    <w:rsid w:val="00BC5122"/>
    <w:rsid w:val="00BC520B"/>
    <w:rsid w:val="00BC533F"/>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A3D"/>
    <w:rsid w:val="00BD6166"/>
    <w:rsid w:val="00BD657E"/>
    <w:rsid w:val="00BD70F6"/>
    <w:rsid w:val="00BD740C"/>
    <w:rsid w:val="00BE09E6"/>
    <w:rsid w:val="00BE0E16"/>
    <w:rsid w:val="00BE1965"/>
    <w:rsid w:val="00BE2414"/>
    <w:rsid w:val="00BE2ED0"/>
    <w:rsid w:val="00BE39D7"/>
    <w:rsid w:val="00BE3EEA"/>
    <w:rsid w:val="00BE406B"/>
    <w:rsid w:val="00BE4E97"/>
    <w:rsid w:val="00BE5982"/>
    <w:rsid w:val="00BE649F"/>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DF7"/>
    <w:rsid w:val="00C13FF8"/>
    <w:rsid w:val="00C142D6"/>
    <w:rsid w:val="00C146A9"/>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701"/>
    <w:rsid w:val="00C43808"/>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21C"/>
    <w:rsid w:val="00C679C9"/>
    <w:rsid w:val="00C7009E"/>
    <w:rsid w:val="00C70203"/>
    <w:rsid w:val="00C71AEB"/>
    <w:rsid w:val="00C71C10"/>
    <w:rsid w:val="00C72AAA"/>
    <w:rsid w:val="00C72BF2"/>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7"/>
    <w:rsid w:val="00C8737A"/>
    <w:rsid w:val="00C9090C"/>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E6C"/>
    <w:rsid w:val="00CB20E4"/>
    <w:rsid w:val="00CB2355"/>
    <w:rsid w:val="00CB2574"/>
    <w:rsid w:val="00CB29DE"/>
    <w:rsid w:val="00CB2ED2"/>
    <w:rsid w:val="00CB3845"/>
    <w:rsid w:val="00CB412A"/>
    <w:rsid w:val="00CB4FAE"/>
    <w:rsid w:val="00CB61F0"/>
    <w:rsid w:val="00CB75C0"/>
    <w:rsid w:val="00CB7BD8"/>
    <w:rsid w:val="00CB7E10"/>
    <w:rsid w:val="00CC02BB"/>
    <w:rsid w:val="00CC0779"/>
    <w:rsid w:val="00CC0A49"/>
    <w:rsid w:val="00CC20FF"/>
    <w:rsid w:val="00CC28D5"/>
    <w:rsid w:val="00CC2CC0"/>
    <w:rsid w:val="00CC315F"/>
    <w:rsid w:val="00CC50E3"/>
    <w:rsid w:val="00CC5B4B"/>
    <w:rsid w:val="00CC6642"/>
    <w:rsid w:val="00CC69B5"/>
    <w:rsid w:val="00CC6C4A"/>
    <w:rsid w:val="00CC7587"/>
    <w:rsid w:val="00CC7B07"/>
    <w:rsid w:val="00CC7B5B"/>
    <w:rsid w:val="00CD0197"/>
    <w:rsid w:val="00CD019D"/>
    <w:rsid w:val="00CD0788"/>
    <w:rsid w:val="00CD0B6E"/>
    <w:rsid w:val="00CD2448"/>
    <w:rsid w:val="00CD30BC"/>
    <w:rsid w:val="00CD31CE"/>
    <w:rsid w:val="00CD366A"/>
    <w:rsid w:val="00CD3728"/>
    <w:rsid w:val="00CD4AB6"/>
    <w:rsid w:val="00CD4FC8"/>
    <w:rsid w:val="00CD5021"/>
    <w:rsid w:val="00CD58A0"/>
    <w:rsid w:val="00CD5C14"/>
    <w:rsid w:val="00CD6EFB"/>
    <w:rsid w:val="00CD7079"/>
    <w:rsid w:val="00CD72A8"/>
    <w:rsid w:val="00CD7713"/>
    <w:rsid w:val="00CE0569"/>
    <w:rsid w:val="00CE1401"/>
    <w:rsid w:val="00CE1E5F"/>
    <w:rsid w:val="00CE214F"/>
    <w:rsid w:val="00CE2154"/>
    <w:rsid w:val="00CE3871"/>
    <w:rsid w:val="00CE3AFA"/>
    <w:rsid w:val="00CE3FC5"/>
    <w:rsid w:val="00CE4F71"/>
    <w:rsid w:val="00CE4FEE"/>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6E44"/>
    <w:rsid w:val="00D1735F"/>
    <w:rsid w:val="00D1785B"/>
    <w:rsid w:val="00D17A1E"/>
    <w:rsid w:val="00D17D75"/>
    <w:rsid w:val="00D20A1E"/>
    <w:rsid w:val="00D20E1B"/>
    <w:rsid w:val="00D20EA3"/>
    <w:rsid w:val="00D211C0"/>
    <w:rsid w:val="00D2247D"/>
    <w:rsid w:val="00D22605"/>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D72"/>
    <w:rsid w:val="00D454DB"/>
    <w:rsid w:val="00D455D1"/>
    <w:rsid w:val="00D4657B"/>
    <w:rsid w:val="00D467AE"/>
    <w:rsid w:val="00D46A26"/>
    <w:rsid w:val="00D50169"/>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265A"/>
    <w:rsid w:val="00D632FC"/>
    <w:rsid w:val="00D64A8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08C0"/>
    <w:rsid w:val="00D9148F"/>
    <w:rsid w:val="00D914EB"/>
    <w:rsid w:val="00D92759"/>
    <w:rsid w:val="00D9281D"/>
    <w:rsid w:val="00D9316E"/>
    <w:rsid w:val="00D931DF"/>
    <w:rsid w:val="00D93F27"/>
    <w:rsid w:val="00D94500"/>
    <w:rsid w:val="00D94790"/>
    <w:rsid w:val="00D94BF4"/>
    <w:rsid w:val="00D9522C"/>
    <w:rsid w:val="00D95E4A"/>
    <w:rsid w:val="00D965AD"/>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64A3"/>
    <w:rsid w:val="00DC787A"/>
    <w:rsid w:val="00DC7D81"/>
    <w:rsid w:val="00DC7ECA"/>
    <w:rsid w:val="00DD05F8"/>
    <w:rsid w:val="00DD08EB"/>
    <w:rsid w:val="00DD0B73"/>
    <w:rsid w:val="00DD1CD7"/>
    <w:rsid w:val="00DD29D0"/>
    <w:rsid w:val="00DD5470"/>
    <w:rsid w:val="00DD58D6"/>
    <w:rsid w:val="00DD6039"/>
    <w:rsid w:val="00DD6A66"/>
    <w:rsid w:val="00DD6B3E"/>
    <w:rsid w:val="00DD6ED8"/>
    <w:rsid w:val="00DD73AD"/>
    <w:rsid w:val="00DD73BA"/>
    <w:rsid w:val="00DE0464"/>
    <w:rsid w:val="00DE046A"/>
    <w:rsid w:val="00DE0756"/>
    <w:rsid w:val="00DE076B"/>
    <w:rsid w:val="00DE0B93"/>
    <w:rsid w:val="00DE0ECD"/>
    <w:rsid w:val="00DE169D"/>
    <w:rsid w:val="00DE1DDF"/>
    <w:rsid w:val="00DE1E95"/>
    <w:rsid w:val="00DE2448"/>
    <w:rsid w:val="00DE2ACD"/>
    <w:rsid w:val="00DE3094"/>
    <w:rsid w:val="00DE5ABA"/>
    <w:rsid w:val="00DE5EBD"/>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2349"/>
    <w:rsid w:val="00E029F5"/>
    <w:rsid w:val="00E02A1A"/>
    <w:rsid w:val="00E02C8B"/>
    <w:rsid w:val="00E02F98"/>
    <w:rsid w:val="00E02FDD"/>
    <w:rsid w:val="00E042FE"/>
    <w:rsid w:val="00E04664"/>
    <w:rsid w:val="00E04869"/>
    <w:rsid w:val="00E04CD5"/>
    <w:rsid w:val="00E05B97"/>
    <w:rsid w:val="00E05E01"/>
    <w:rsid w:val="00E06A8F"/>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500C4"/>
    <w:rsid w:val="00E5093C"/>
    <w:rsid w:val="00E50ABB"/>
    <w:rsid w:val="00E50C76"/>
    <w:rsid w:val="00E50F84"/>
    <w:rsid w:val="00E51105"/>
    <w:rsid w:val="00E516F3"/>
    <w:rsid w:val="00E5189C"/>
    <w:rsid w:val="00E51B98"/>
    <w:rsid w:val="00E51CB1"/>
    <w:rsid w:val="00E51EBD"/>
    <w:rsid w:val="00E52062"/>
    <w:rsid w:val="00E52616"/>
    <w:rsid w:val="00E52E12"/>
    <w:rsid w:val="00E52E49"/>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66E"/>
    <w:rsid w:val="00E67821"/>
    <w:rsid w:val="00E67DF5"/>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392"/>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0E38"/>
    <w:rsid w:val="00EA10CD"/>
    <w:rsid w:val="00EA1CE8"/>
    <w:rsid w:val="00EA218B"/>
    <w:rsid w:val="00EA25DA"/>
    <w:rsid w:val="00EA2D19"/>
    <w:rsid w:val="00EA39C0"/>
    <w:rsid w:val="00EA50DE"/>
    <w:rsid w:val="00EA5531"/>
    <w:rsid w:val="00EA5E8D"/>
    <w:rsid w:val="00EA71B8"/>
    <w:rsid w:val="00EA7A92"/>
    <w:rsid w:val="00EA7D58"/>
    <w:rsid w:val="00EB0129"/>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495F"/>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A7E"/>
    <w:rsid w:val="00EF1FFB"/>
    <w:rsid w:val="00EF2C21"/>
    <w:rsid w:val="00EF2C5A"/>
    <w:rsid w:val="00EF4540"/>
    <w:rsid w:val="00EF4866"/>
    <w:rsid w:val="00EF4A9E"/>
    <w:rsid w:val="00EF4E6E"/>
    <w:rsid w:val="00EF5382"/>
    <w:rsid w:val="00EF56A3"/>
    <w:rsid w:val="00EF5E4E"/>
    <w:rsid w:val="00EF6936"/>
    <w:rsid w:val="00EF73D0"/>
    <w:rsid w:val="00EF7AB0"/>
    <w:rsid w:val="00F00F41"/>
    <w:rsid w:val="00F011E0"/>
    <w:rsid w:val="00F01572"/>
    <w:rsid w:val="00F01992"/>
    <w:rsid w:val="00F029C3"/>
    <w:rsid w:val="00F02DD6"/>
    <w:rsid w:val="00F0347B"/>
    <w:rsid w:val="00F034BF"/>
    <w:rsid w:val="00F03863"/>
    <w:rsid w:val="00F03885"/>
    <w:rsid w:val="00F0410A"/>
    <w:rsid w:val="00F04BD2"/>
    <w:rsid w:val="00F05136"/>
    <w:rsid w:val="00F06FF4"/>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A57"/>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549"/>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E82"/>
    <w:rsid w:val="00F71FB8"/>
    <w:rsid w:val="00F727A1"/>
    <w:rsid w:val="00F73EBD"/>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B25"/>
    <w:rsid w:val="00F96EA3"/>
    <w:rsid w:val="00F97611"/>
    <w:rsid w:val="00F9765C"/>
    <w:rsid w:val="00F97D24"/>
    <w:rsid w:val="00FA07D4"/>
    <w:rsid w:val="00FA0837"/>
    <w:rsid w:val="00FA1B72"/>
    <w:rsid w:val="00FA28C4"/>
    <w:rsid w:val="00FA2DD9"/>
    <w:rsid w:val="00FA53AE"/>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4172"/>
    <w:rsid w:val="00FB4711"/>
    <w:rsid w:val="00FB4C61"/>
    <w:rsid w:val="00FB5522"/>
    <w:rsid w:val="00FB5E08"/>
    <w:rsid w:val="00FB6E19"/>
    <w:rsid w:val="00FB709A"/>
    <w:rsid w:val="00FC01F8"/>
    <w:rsid w:val="00FC1384"/>
    <w:rsid w:val="00FC1D23"/>
    <w:rsid w:val="00FC1F34"/>
    <w:rsid w:val="00FC2636"/>
    <w:rsid w:val="00FC277C"/>
    <w:rsid w:val="00FC2EA5"/>
    <w:rsid w:val="00FC30FC"/>
    <w:rsid w:val="00FC3247"/>
    <w:rsid w:val="00FC39DA"/>
    <w:rsid w:val="00FC3A40"/>
    <w:rsid w:val="00FC50DE"/>
    <w:rsid w:val="00FC5A49"/>
    <w:rsid w:val="00FC6C41"/>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481D"/>
    <w:rsid w:val="00FD4B1A"/>
    <w:rsid w:val="00FD635B"/>
    <w:rsid w:val="00FD6760"/>
    <w:rsid w:val="00FD6C49"/>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B14"/>
    <w:rsid w:val="00FE6D71"/>
    <w:rsid w:val="00FE6E97"/>
    <w:rsid w:val="00FE708E"/>
    <w:rsid w:val="00FE7165"/>
    <w:rsid w:val="00FE7488"/>
    <w:rsid w:val="00FE77A6"/>
    <w:rsid w:val="00FE7D5B"/>
    <w:rsid w:val="00FF1CDF"/>
    <w:rsid w:val="00FF2E98"/>
    <w:rsid w:val="00FF3769"/>
    <w:rsid w:val="00FF3DDA"/>
    <w:rsid w:val="00FF469F"/>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1740F"/>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B4B416"/>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2F1CC8"/>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4798C6"/>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E17570"/>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7F3300"/>
    <w:rsid w:val="17E35C5A"/>
    <w:rsid w:val="1803E47B"/>
    <w:rsid w:val="1804C13D"/>
    <w:rsid w:val="1821572A"/>
    <w:rsid w:val="18388DAB"/>
    <w:rsid w:val="184DE27C"/>
    <w:rsid w:val="18CD4886"/>
    <w:rsid w:val="18EB87E6"/>
    <w:rsid w:val="1926E866"/>
    <w:rsid w:val="1927CE7B"/>
    <w:rsid w:val="1929F99E"/>
    <w:rsid w:val="19429144"/>
    <w:rsid w:val="197ED2C5"/>
    <w:rsid w:val="198F6E94"/>
    <w:rsid w:val="19B73E0F"/>
    <w:rsid w:val="1A214D7B"/>
    <w:rsid w:val="1A4CCBE9"/>
    <w:rsid w:val="1A6D49F6"/>
    <w:rsid w:val="1A7325E9"/>
    <w:rsid w:val="1ADC4321"/>
    <w:rsid w:val="1B8E39C6"/>
    <w:rsid w:val="1BE012FB"/>
    <w:rsid w:val="1BE4A6C6"/>
    <w:rsid w:val="1BE508D2"/>
    <w:rsid w:val="1BF80CAE"/>
    <w:rsid w:val="1C80F9E1"/>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7F8193"/>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AE6FE3"/>
    <w:rsid w:val="22BD40BC"/>
    <w:rsid w:val="22C9FB8B"/>
    <w:rsid w:val="22CDF4FD"/>
    <w:rsid w:val="22CE1B38"/>
    <w:rsid w:val="22D1B937"/>
    <w:rsid w:val="2310F1B0"/>
    <w:rsid w:val="23183BC8"/>
    <w:rsid w:val="2342DE51"/>
    <w:rsid w:val="23430B01"/>
    <w:rsid w:val="237796E7"/>
    <w:rsid w:val="23AE4128"/>
    <w:rsid w:val="23EE38A2"/>
    <w:rsid w:val="24109667"/>
    <w:rsid w:val="2433C1A5"/>
    <w:rsid w:val="243844A6"/>
    <w:rsid w:val="248F1C80"/>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6EE2F05"/>
    <w:rsid w:val="27287143"/>
    <w:rsid w:val="27388094"/>
    <w:rsid w:val="2747E51A"/>
    <w:rsid w:val="274FDF1F"/>
    <w:rsid w:val="276D6249"/>
    <w:rsid w:val="278BBDFD"/>
    <w:rsid w:val="27AC6D3C"/>
    <w:rsid w:val="28016DAA"/>
    <w:rsid w:val="28063494"/>
    <w:rsid w:val="2814FCD7"/>
    <w:rsid w:val="281C2D35"/>
    <w:rsid w:val="2843936F"/>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520BB"/>
    <w:rsid w:val="2B5618A1"/>
    <w:rsid w:val="2B723B7C"/>
    <w:rsid w:val="2B749063"/>
    <w:rsid w:val="2B9983ED"/>
    <w:rsid w:val="2BD4D87D"/>
    <w:rsid w:val="2BD765DE"/>
    <w:rsid w:val="2C156C27"/>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CE2853"/>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7B1788"/>
    <w:rsid w:val="30AAA24B"/>
    <w:rsid w:val="310174DA"/>
    <w:rsid w:val="3141E4CB"/>
    <w:rsid w:val="3151A047"/>
    <w:rsid w:val="31948481"/>
    <w:rsid w:val="31C93207"/>
    <w:rsid w:val="31CB886E"/>
    <w:rsid w:val="31F03169"/>
    <w:rsid w:val="3228EFB4"/>
    <w:rsid w:val="32364103"/>
    <w:rsid w:val="32A70AE6"/>
    <w:rsid w:val="32CB3E48"/>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1C655"/>
    <w:rsid w:val="37324D07"/>
    <w:rsid w:val="373950D2"/>
    <w:rsid w:val="374C84E2"/>
    <w:rsid w:val="375612C6"/>
    <w:rsid w:val="37799B90"/>
    <w:rsid w:val="378A2622"/>
    <w:rsid w:val="37A6D578"/>
    <w:rsid w:val="37BA2B0A"/>
    <w:rsid w:val="37F16E4C"/>
    <w:rsid w:val="37FE8310"/>
    <w:rsid w:val="384670F6"/>
    <w:rsid w:val="3858D5E2"/>
    <w:rsid w:val="38768A2B"/>
    <w:rsid w:val="38CF2474"/>
    <w:rsid w:val="390B5467"/>
    <w:rsid w:val="394A5CA2"/>
    <w:rsid w:val="396047D4"/>
    <w:rsid w:val="3967C27B"/>
    <w:rsid w:val="397FAC51"/>
    <w:rsid w:val="39C2CD4E"/>
    <w:rsid w:val="39DE175F"/>
    <w:rsid w:val="3A01743F"/>
    <w:rsid w:val="3A03F87B"/>
    <w:rsid w:val="3A23264B"/>
    <w:rsid w:val="3A7B8B76"/>
    <w:rsid w:val="3AA6A280"/>
    <w:rsid w:val="3AB04BF4"/>
    <w:rsid w:val="3ADF5A30"/>
    <w:rsid w:val="3AFEC450"/>
    <w:rsid w:val="3B04222B"/>
    <w:rsid w:val="3B107067"/>
    <w:rsid w:val="3B292D39"/>
    <w:rsid w:val="3B885745"/>
    <w:rsid w:val="3B92FA35"/>
    <w:rsid w:val="3B93BD08"/>
    <w:rsid w:val="3BADB547"/>
    <w:rsid w:val="3BE2EBA1"/>
    <w:rsid w:val="3BF5D923"/>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EF097B"/>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873E73"/>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1332B9"/>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BF5D65"/>
    <w:rsid w:val="50C29624"/>
    <w:rsid w:val="50EDDC62"/>
    <w:rsid w:val="50EE5B73"/>
    <w:rsid w:val="50FB0E9A"/>
    <w:rsid w:val="5110DB68"/>
    <w:rsid w:val="513C181A"/>
    <w:rsid w:val="51B9E49D"/>
    <w:rsid w:val="51BF2D3D"/>
    <w:rsid w:val="51EE94C5"/>
    <w:rsid w:val="521B21FA"/>
    <w:rsid w:val="525ED9CA"/>
    <w:rsid w:val="5277A253"/>
    <w:rsid w:val="5287CD20"/>
    <w:rsid w:val="52D448AA"/>
    <w:rsid w:val="52D7E87B"/>
    <w:rsid w:val="52E234A9"/>
    <w:rsid w:val="52E2D6D4"/>
    <w:rsid w:val="52E954B0"/>
    <w:rsid w:val="530CE626"/>
    <w:rsid w:val="531BC9B6"/>
    <w:rsid w:val="53219AC9"/>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796509"/>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6C8606"/>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7220B"/>
    <w:rsid w:val="5C88C820"/>
    <w:rsid w:val="5C9983DD"/>
    <w:rsid w:val="5CCC4589"/>
    <w:rsid w:val="5CEC8D01"/>
    <w:rsid w:val="5D0F763A"/>
    <w:rsid w:val="5D20CD99"/>
    <w:rsid w:val="5D2F1B5F"/>
    <w:rsid w:val="5D3FC194"/>
    <w:rsid w:val="5D84028A"/>
    <w:rsid w:val="5D96C8CF"/>
    <w:rsid w:val="5DCED1B2"/>
    <w:rsid w:val="5DE04FF4"/>
    <w:rsid w:val="5E3C7DEF"/>
    <w:rsid w:val="5E4462D4"/>
    <w:rsid w:val="5E86C2AE"/>
    <w:rsid w:val="5E8E5A2B"/>
    <w:rsid w:val="5EA896EE"/>
    <w:rsid w:val="5EB8978A"/>
    <w:rsid w:val="5EE66A87"/>
    <w:rsid w:val="5F4E699D"/>
    <w:rsid w:val="5F6F7CF4"/>
    <w:rsid w:val="5F8FC05F"/>
    <w:rsid w:val="5FB038B2"/>
    <w:rsid w:val="5FBB2648"/>
    <w:rsid w:val="5FD1249F"/>
    <w:rsid w:val="5FF46309"/>
    <w:rsid w:val="600E0883"/>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7C5CBE"/>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3A31C6"/>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E069C4"/>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5FBA698"/>
    <w:rsid w:val="7620D36D"/>
    <w:rsid w:val="7640E7D4"/>
    <w:rsid w:val="764A86F5"/>
    <w:rsid w:val="7652538D"/>
    <w:rsid w:val="766B2B38"/>
    <w:rsid w:val="76757E5E"/>
    <w:rsid w:val="76D17C2A"/>
    <w:rsid w:val="76D2F0D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AB1413"/>
    <w:rsid w:val="7AB89015"/>
    <w:rsid w:val="7ACAC339"/>
    <w:rsid w:val="7ACE80BA"/>
    <w:rsid w:val="7AEBA679"/>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18AA"/>
    <w:rsid w:val="7C405A1C"/>
    <w:rsid w:val="7C43ED6E"/>
    <w:rsid w:val="7C48FFCA"/>
    <w:rsid w:val="7C5DD9E4"/>
    <w:rsid w:val="7C99C3B0"/>
    <w:rsid w:val="7CD2B113"/>
    <w:rsid w:val="7D2A43B1"/>
    <w:rsid w:val="7D3270E8"/>
    <w:rsid w:val="7D50829D"/>
    <w:rsid w:val="7D52E82F"/>
    <w:rsid w:val="7D6BC11A"/>
    <w:rsid w:val="7D7F9F22"/>
    <w:rsid w:val="7D873EA5"/>
    <w:rsid w:val="7D89FAA0"/>
    <w:rsid w:val="7DAC4338"/>
    <w:rsid w:val="7DE93B9E"/>
    <w:rsid w:val="7DF196A7"/>
    <w:rsid w:val="7E350D8F"/>
    <w:rsid w:val="7E47D66C"/>
    <w:rsid w:val="7E954D45"/>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B1B05D90-77F6-4BEB-9AF5-42061953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link w:val="Heading1Char"/>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link w:val="Heading11Char"/>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paragraph" w:customStyle="1" w:styleId="APPENDIXHEADING">
    <w:name w:val="APPENDIX HEADING"/>
    <w:basedOn w:val="Heading11"/>
    <w:next w:val="Normal"/>
    <w:link w:val="APPENDIXHEADINGChar"/>
    <w:qFormat/>
    <w:rsid w:val="00362709"/>
    <w:pPr>
      <w:numPr>
        <w:numId w:val="0"/>
      </w:numPr>
    </w:pPr>
  </w:style>
  <w:style w:type="character" w:customStyle="1" w:styleId="Heading1Char">
    <w:name w:val="Heading 1 Char"/>
    <w:basedOn w:val="Heading2Char"/>
    <w:link w:val="Heading1"/>
    <w:rsid w:val="00362709"/>
    <w:rPr>
      <w:rFonts w:ascii="Arial" w:hAnsi="Arial" w:cs="Arial"/>
      <w:b/>
      <w:bCs/>
      <w:iCs/>
      <w:color w:val="000000" w:themeColor="text1"/>
      <w:sz w:val="32"/>
      <w:szCs w:val="28"/>
      <w:lang w:eastAsia="en-US"/>
    </w:rPr>
  </w:style>
  <w:style w:type="character" w:customStyle="1" w:styleId="Heading11Char">
    <w:name w:val="Heading 11 Char"/>
    <w:basedOn w:val="Heading1Char"/>
    <w:link w:val="Heading11"/>
    <w:rsid w:val="00362709"/>
    <w:rPr>
      <w:rFonts w:ascii="Arial" w:hAnsi="Arial" w:cs="Arial"/>
      <w:b/>
      <w:bCs/>
      <w:iCs w:val="0"/>
      <w:color w:val="003629"/>
      <w:sz w:val="40"/>
      <w:szCs w:val="28"/>
      <w:lang w:eastAsia="en-US"/>
    </w:rPr>
  </w:style>
  <w:style w:type="character" w:customStyle="1" w:styleId="APPENDIXHEADINGChar">
    <w:name w:val="APPENDIX HEADING Char"/>
    <w:basedOn w:val="Heading11Char"/>
    <w:link w:val="APPENDIXHEADING"/>
    <w:rsid w:val="00362709"/>
    <w:rPr>
      <w:rFonts w:ascii="Arial" w:hAnsi="Arial" w:cs="Arial"/>
      <w:b/>
      <w:bCs/>
      <w:iCs w:val="0"/>
      <w:color w:val="003629"/>
      <w:sz w:val="40"/>
      <w:szCs w:val="28"/>
      <w:lang w:eastAsia="en-US"/>
    </w:rPr>
  </w:style>
  <w:style w:type="character" w:styleId="Mention">
    <w:name w:val="Mention"/>
    <w:basedOn w:val="DefaultParagraphFont"/>
    <w:uiPriority w:val="99"/>
    <w:unhideWhenUsed/>
    <w:rsid w:val="009375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2026-2088683862-64268</_dlc_DocId>
    <_dlc_DocIdUrl xmlns="6033a234-c704-4e9b-9e67-19f260df118c">
      <Url>https://llwrsite0.sharepoint.com/sites/-RWMProgrammeManagementOffice/_layouts/15/DocIdRedir.aspx?ID=2026-2088683862-64268</Url>
      <Description>2026-2088683862-64268</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311c69e1ebce667ce887f6524446c473">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2f90f2b0df5f795c1b18bab2721d3563"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AFD6D5-0210-4057-B679-63293E73B0FD}">
  <ds:schemaRefs>
    <ds:schemaRef ds:uri="4742dee6-65f8-4694-a837-d32f984e5d86"/>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6033a234-c704-4e9b-9e67-19f260df118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3.xml><?xml version="1.0" encoding="utf-8"?>
<ds:datastoreItem xmlns:ds="http://schemas.openxmlformats.org/officeDocument/2006/customXml" ds:itemID="{53E0072B-8160-4232-B646-02A4DA9A4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5.xml><?xml version="1.0" encoding="utf-8"?>
<ds:datastoreItem xmlns:ds="http://schemas.openxmlformats.org/officeDocument/2006/customXml" ds:itemID="{36433AC7-4656-4352-AE82-3CF77F3B32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0</TotalTime>
  <Pages>12</Pages>
  <Words>1903</Words>
  <Characters>10849</Characters>
  <Application>Microsoft Office Word</Application>
  <DocSecurity>0</DocSecurity>
  <Lines>90</Lines>
  <Paragraphs>25</Paragraphs>
  <ScaleCrop>false</ScaleCrop>
  <Company>test</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2</cp:revision>
  <cp:lastPrinted>2025-09-19T15:41:00Z</cp:lastPrinted>
  <dcterms:created xsi:type="dcterms:W3CDTF">2025-09-22T13:19:00Z</dcterms:created>
  <dcterms:modified xsi:type="dcterms:W3CDTF">2025-09-22T13:19:00Z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7e356476-fedc-482f-aec4-3c09c7f3348b</vt:lpwstr>
  </property>
  <property fmtid="{D5CDD505-2E9C-101B-9397-08002B2CF9AE}" pid="27" name="MediaServiceImageTags">
    <vt:lpwstr/>
  </property>
</Properties>
</file>