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1519" w14:textId="77777777" w:rsidR="00836D85" w:rsidRPr="0051434B" w:rsidRDefault="00836D85" w:rsidP="00CE214F">
      <w:bookmarkStart w:id="0" w:name="_Hlk171077643"/>
      <w:bookmarkEnd w:id="0"/>
    </w:p>
    <w:p w14:paraId="7D588038" w14:textId="2D1EB60D" w:rsidR="684E0057" w:rsidRDefault="684E0057" w:rsidP="00CE214F"/>
    <w:p w14:paraId="228CA18D" w14:textId="77777777" w:rsidR="0096755E" w:rsidRDefault="0096755E" w:rsidP="00BB6896">
      <w:pPr>
        <w:pStyle w:val="Title1"/>
        <w:rPr>
          <w:rFonts w:eastAsia="Arial"/>
        </w:rPr>
      </w:pPr>
    </w:p>
    <w:p w14:paraId="0FD79EB1" w14:textId="77777777" w:rsidR="0096755E" w:rsidRDefault="0096755E" w:rsidP="00BB6896">
      <w:pPr>
        <w:pStyle w:val="Title1"/>
        <w:rPr>
          <w:rFonts w:eastAsia="Arial"/>
        </w:rPr>
      </w:pPr>
    </w:p>
    <w:p w14:paraId="29E9B15A" w14:textId="39B43F20" w:rsidR="0005623F" w:rsidRDefault="0005623F" w:rsidP="0005623F">
      <w:pPr>
        <w:pStyle w:val="Title1"/>
        <w:rPr>
          <w:rFonts w:eastAsia="Arial"/>
        </w:rPr>
      </w:pPr>
      <w:bookmarkStart w:id="1" w:name="_Hlk100210014"/>
      <w:r>
        <w:rPr>
          <w:rFonts w:eastAsia="Arial"/>
        </w:rPr>
        <w:t>Site Characterisation Delivery Partner</w:t>
      </w:r>
    </w:p>
    <w:p w14:paraId="72641F83" w14:textId="77777777" w:rsidR="0005623F" w:rsidRDefault="0005623F" w:rsidP="0005623F">
      <w:pPr>
        <w:pStyle w:val="Title1"/>
        <w:rPr>
          <w:rFonts w:eastAsia="Arial"/>
        </w:rPr>
      </w:pPr>
    </w:p>
    <w:p w14:paraId="05D540B3" w14:textId="77777777" w:rsidR="005357F3" w:rsidRDefault="005357F3" w:rsidP="0005623F">
      <w:pPr>
        <w:pStyle w:val="Title1"/>
        <w:rPr>
          <w:rFonts w:eastAsia="Arial"/>
        </w:rPr>
      </w:pPr>
    </w:p>
    <w:p w14:paraId="06F0DE83" w14:textId="7A875103" w:rsidR="00A0258B" w:rsidRPr="0096755E" w:rsidRDefault="0095101B" w:rsidP="00BB6896">
      <w:pPr>
        <w:pStyle w:val="Title1"/>
        <w:rPr>
          <w:rFonts w:eastAsia="Arial"/>
        </w:rPr>
      </w:pPr>
      <w:r w:rsidRPr="0095101B">
        <w:rPr>
          <w:rFonts w:eastAsia="Arial"/>
        </w:rPr>
        <w:t xml:space="preserve">Self-Funded Incentive (SFI) Handbook </w:t>
      </w:r>
      <w:r w:rsidR="002558AA">
        <w:rPr>
          <w:rFonts w:eastAsia="Arial"/>
        </w:rPr>
        <w:t xml:space="preserve"> </w:t>
      </w:r>
      <w:r w:rsidR="00842114">
        <w:rPr>
          <w:rFonts w:eastAsia="Arial"/>
        </w:rPr>
        <w:br/>
      </w:r>
      <w:bookmarkEnd w:id="1"/>
    </w:p>
    <w:p w14:paraId="626B62DB" w14:textId="77777777" w:rsidR="00A0258B" w:rsidRPr="0096755E" w:rsidRDefault="00A0258B" w:rsidP="00BB6896">
      <w:pPr>
        <w:pStyle w:val="Title1"/>
        <w:rPr>
          <w:rFonts w:eastAsia="Arial"/>
        </w:rPr>
      </w:pPr>
    </w:p>
    <w:p w14:paraId="2E070E51" w14:textId="478C8F8A" w:rsidR="00832D12" w:rsidRPr="00F630CA" w:rsidRDefault="00F1396D" w:rsidP="00BB6896">
      <w:pPr>
        <w:pStyle w:val="Title1"/>
        <w:rPr>
          <w:rFonts w:eastAsia="Arial"/>
          <w:sz w:val="52"/>
          <w:szCs w:val="18"/>
        </w:rPr>
      </w:pPr>
      <w:r w:rsidRPr="00F1396D">
        <w:rPr>
          <w:rFonts w:eastAsia="Arial"/>
          <w:sz w:val="52"/>
          <w:szCs w:val="18"/>
        </w:rPr>
        <w:t>C23206</w:t>
      </w:r>
    </w:p>
    <w:p w14:paraId="6A2A375B" w14:textId="77777777" w:rsidR="00D965AD" w:rsidRPr="00FF24C4" w:rsidRDefault="00FF24C4" w:rsidP="00BB6896">
      <w:pPr>
        <w:pStyle w:val="Title1"/>
        <w:rPr>
          <w:sz w:val="52"/>
          <w:szCs w:val="18"/>
        </w:rPr>
      </w:pPr>
      <w:r w:rsidRPr="00FF24C4">
        <w:rPr>
          <w:sz w:val="52"/>
          <w:szCs w:val="18"/>
        </w:rPr>
        <w:t>GDF-NWS-SCDP-AXX-CC-CS-000015</w:t>
      </w:r>
    </w:p>
    <w:p w14:paraId="7244EC45" w14:textId="77777777" w:rsidR="00FF24C4" w:rsidRDefault="00FF24C4" w:rsidP="00BB6896">
      <w:pPr>
        <w:pStyle w:val="Title1"/>
      </w:pPr>
    </w:p>
    <w:p w14:paraId="212D40F2" w14:textId="36C058F2" w:rsidR="00FF24C4" w:rsidRPr="0096755E" w:rsidRDefault="00FF24C4" w:rsidP="00BB6896">
      <w:pPr>
        <w:pStyle w:val="Title1"/>
        <w:sectPr w:rsidR="00FF24C4" w:rsidRPr="0096755E" w:rsidSect="004B48E0">
          <w:headerReference w:type="even" r:id="rId12"/>
          <w:headerReference w:type="default" r:id="rId13"/>
          <w:footerReference w:type="default" r:id="rId14"/>
          <w:headerReference w:type="first" r:id="rId15"/>
          <w:footerReference w:type="first" r:id="rId16"/>
          <w:pgSz w:w="11907" w:h="16840" w:code="9"/>
          <w:pgMar w:top="1985" w:right="1259" w:bottom="244" w:left="1077" w:header="539" w:footer="782" w:gutter="0"/>
          <w:cols w:space="720"/>
          <w:titlePg/>
          <w:docGrid w:linePitch="360"/>
        </w:sectPr>
      </w:pPr>
    </w:p>
    <w:p w14:paraId="154F8843" w14:textId="77777777" w:rsidR="000B6A1A" w:rsidRDefault="000B6A1A" w:rsidP="007C5C22">
      <w:pPr>
        <w:spacing w:before="0"/>
      </w:pPr>
    </w:p>
    <w:p w14:paraId="413C07B9" w14:textId="77777777" w:rsidR="000B6A1A" w:rsidRDefault="000B6A1A" w:rsidP="007C5C22">
      <w:pPr>
        <w:spacing w:before="0"/>
      </w:pPr>
    </w:p>
    <w:p w14:paraId="3F43F70B" w14:textId="77777777" w:rsidR="000B6A1A" w:rsidRDefault="000B6A1A" w:rsidP="007C5C22">
      <w:pPr>
        <w:spacing w:before="0"/>
      </w:pPr>
    </w:p>
    <w:p w14:paraId="37BE2407" w14:textId="77777777" w:rsidR="000B6A1A" w:rsidRDefault="000B6A1A" w:rsidP="007C5C22">
      <w:pPr>
        <w:spacing w:before="0"/>
      </w:pPr>
    </w:p>
    <w:p w14:paraId="00E52ADF" w14:textId="77777777" w:rsidR="000B6A1A" w:rsidRDefault="000B6A1A" w:rsidP="007C5C22">
      <w:pPr>
        <w:spacing w:before="0"/>
      </w:pPr>
    </w:p>
    <w:p w14:paraId="0D4D0CB3" w14:textId="77777777" w:rsidR="000B6A1A" w:rsidRDefault="000B6A1A" w:rsidP="007C5C22">
      <w:pPr>
        <w:spacing w:before="0"/>
      </w:pPr>
    </w:p>
    <w:p w14:paraId="1D8C429B" w14:textId="77777777" w:rsidR="000B6A1A" w:rsidRDefault="000B6A1A" w:rsidP="007C5C22">
      <w:pPr>
        <w:spacing w:before="0"/>
      </w:pPr>
    </w:p>
    <w:p w14:paraId="4E506CE0" w14:textId="77777777" w:rsidR="000B6A1A" w:rsidRDefault="000B6A1A" w:rsidP="007C5C22">
      <w:pPr>
        <w:spacing w:before="0"/>
      </w:pPr>
    </w:p>
    <w:p w14:paraId="504A33ED" w14:textId="77777777" w:rsidR="000B6A1A" w:rsidRDefault="000B6A1A" w:rsidP="007C5C22">
      <w:pPr>
        <w:spacing w:before="0"/>
      </w:pPr>
    </w:p>
    <w:p w14:paraId="0ACF81F7" w14:textId="77777777" w:rsidR="000B6A1A" w:rsidRDefault="000B6A1A" w:rsidP="007C5C22">
      <w:pPr>
        <w:spacing w:before="0"/>
      </w:pPr>
    </w:p>
    <w:p w14:paraId="496C5E76" w14:textId="77777777" w:rsidR="000B6A1A" w:rsidRDefault="000B6A1A" w:rsidP="007C5C22">
      <w:pPr>
        <w:spacing w:before="0"/>
      </w:pPr>
    </w:p>
    <w:p w14:paraId="4A0483BB" w14:textId="77777777" w:rsidR="000B6A1A" w:rsidRDefault="000B6A1A" w:rsidP="007C5C22">
      <w:pPr>
        <w:spacing w:before="0"/>
      </w:pPr>
    </w:p>
    <w:p w14:paraId="3B538519" w14:textId="77777777" w:rsidR="000B6A1A" w:rsidRDefault="000B6A1A" w:rsidP="007C5C22">
      <w:pPr>
        <w:spacing w:before="0"/>
      </w:pPr>
    </w:p>
    <w:p w14:paraId="6140C0BF" w14:textId="77777777" w:rsidR="000B6A1A" w:rsidRDefault="000B6A1A" w:rsidP="007C5C22">
      <w:pPr>
        <w:spacing w:before="0"/>
      </w:pPr>
    </w:p>
    <w:p w14:paraId="0E7ECC09" w14:textId="77777777" w:rsidR="000B6A1A" w:rsidRDefault="000B6A1A" w:rsidP="007C5C22">
      <w:pPr>
        <w:spacing w:before="0"/>
      </w:pPr>
    </w:p>
    <w:p w14:paraId="355E8E45" w14:textId="77777777" w:rsidR="000B6A1A" w:rsidRDefault="000B6A1A" w:rsidP="007C5C22">
      <w:pPr>
        <w:spacing w:before="0"/>
      </w:pPr>
    </w:p>
    <w:p w14:paraId="098ADE15" w14:textId="77777777" w:rsidR="000B6A1A" w:rsidRDefault="000B6A1A" w:rsidP="007C5C22">
      <w:pPr>
        <w:spacing w:before="0"/>
      </w:pPr>
    </w:p>
    <w:p w14:paraId="6E2B152C" w14:textId="77777777" w:rsidR="000B6A1A" w:rsidRDefault="000B6A1A" w:rsidP="007C5C22">
      <w:pPr>
        <w:spacing w:before="0"/>
      </w:pPr>
    </w:p>
    <w:p w14:paraId="4E59AEC2" w14:textId="77777777" w:rsidR="000B6A1A" w:rsidRDefault="000B6A1A" w:rsidP="007C5C22">
      <w:pPr>
        <w:spacing w:before="0"/>
      </w:pPr>
    </w:p>
    <w:p w14:paraId="1E8434A6" w14:textId="05D81992" w:rsidR="00DE2448" w:rsidRDefault="000B6A1A" w:rsidP="000B6A1A">
      <w:pPr>
        <w:spacing w:before="0"/>
        <w:jc w:val="center"/>
      </w:pPr>
      <w:r>
        <w:t>PAGE INTENTIONALLY BLANK</w:t>
      </w:r>
      <w:r w:rsidR="00DE2448" w:rsidRPr="00BE5982">
        <w:br w:type="page"/>
      </w:r>
    </w:p>
    <w:p w14:paraId="3AB87695" w14:textId="77777777" w:rsidR="000B6A1A" w:rsidRPr="00BE5982" w:rsidRDefault="000B6A1A" w:rsidP="007C5C22">
      <w:pPr>
        <w:spacing w:before="0"/>
      </w:pPr>
    </w:p>
    <w:p w14:paraId="50E480C5" w14:textId="77777777" w:rsidR="00861618" w:rsidRPr="00BE5982" w:rsidRDefault="007A06CD" w:rsidP="00CE214F">
      <w:r w:rsidRPr="00BE5982">
        <w:t>Document Control</w:t>
      </w:r>
    </w:p>
    <w:p w14:paraId="692CF5CF" w14:textId="77777777" w:rsidR="00407BD2" w:rsidRPr="00BE5982" w:rsidRDefault="00407BD2" w:rsidP="00407BD2">
      <w:pPr>
        <w:spacing w:before="0"/>
      </w:pPr>
    </w:p>
    <w:tbl>
      <w:tblPr>
        <w:tblStyle w:val="Style2"/>
        <w:tblW w:w="0" w:type="auto"/>
        <w:tblLook w:val="04A0" w:firstRow="1" w:lastRow="0" w:firstColumn="1" w:lastColumn="0" w:noHBand="0" w:noVBand="1"/>
      </w:tblPr>
      <w:tblGrid>
        <w:gridCol w:w="2274"/>
        <w:gridCol w:w="2484"/>
        <w:gridCol w:w="2526"/>
        <w:gridCol w:w="2277"/>
      </w:tblGrid>
      <w:tr w:rsidR="00C819AA" w:rsidRPr="00BE5982" w14:paraId="00174D51" w14:textId="77777777" w:rsidTr="006E7C0E">
        <w:trPr>
          <w:cnfStyle w:val="100000000000" w:firstRow="1" w:lastRow="0" w:firstColumn="0" w:lastColumn="0" w:oddVBand="0" w:evenVBand="0" w:oddHBand="0" w:evenHBand="0" w:firstRowFirstColumn="0" w:firstRowLastColumn="0" w:lastRowFirstColumn="0" w:lastRowLastColumn="0"/>
        </w:trPr>
        <w:tc>
          <w:tcPr>
            <w:tcW w:w="2384" w:type="dxa"/>
          </w:tcPr>
          <w:p w14:paraId="7CDEE3C8" w14:textId="2CF27110" w:rsidR="00C819AA" w:rsidRPr="00BE5982" w:rsidRDefault="00C819AA" w:rsidP="00C819AA">
            <w:pPr>
              <w:spacing w:before="0"/>
            </w:pPr>
            <w:r w:rsidRPr="00542F1D">
              <w:t xml:space="preserve">Name </w:t>
            </w:r>
          </w:p>
        </w:tc>
        <w:tc>
          <w:tcPr>
            <w:tcW w:w="2573" w:type="dxa"/>
          </w:tcPr>
          <w:p w14:paraId="0DD56AD7" w14:textId="48F9DE0A" w:rsidR="00C819AA" w:rsidRPr="00BE5982" w:rsidRDefault="00C819AA" w:rsidP="00C819AA">
            <w:pPr>
              <w:spacing w:before="0"/>
            </w:pPr>
            <w:r w:rsidRPr="00542F1D">
              <w:t>Role</w:t>
            </w:r>
          </w:p>
        </w:tc>
        <w:tc>
          <w:tcPr>
            <w:tcW w:w="2224" w:type="dxa"/>
          </w:tcPr>
          <w:p w14:paraId="4F708542" w14:textId="77E59386" w:rsidR="00C819AA" w:rsidRPr="00BE5982" w:rsidRDefault="00C819AA" w:rsidP="00C819AA">
            <w:pPr>
              <w:spacing w:before="0"/>
            </w:pPr>
            <w:r w:rsidRPr="00542F1D">
              <w:t>Signature</w:t>
            </w:r>
          </w:p>
        </w:tc>
        <w:tc>
          <w:tcPr>
            <w:tcW w:w="2380" w:type="dxa"/>
          </w:tcPr>
          <w:p w14:paraId="2AB515EF" w14:textId="298E45E8" w:rsidR="00C819AA" w:rsidRPr="00BE5982" w:rsidRDefault="00C819AA" w:rsidP="00C819AA">
            <w:pPr>
              <w:spacing w:before="0"/>
            </w:pPr>
            <w:r w:rsidRPr="00542F1D">
              <w:t>Date</w:t>
            </w:r>
          </w:p>
        </w:tc>
      </w:tr>
      <w:tr w:rsidR="007A06CD" w:rsidRPr="00BE5982" w14:paraId="6073C3EF" w14:textId="77777777" w:rsidTr="006E7C0E">
        <w:tc>
          <w:tcPr>
            <w:tcW w:w="2384" w:type="dxa"/>
            <w:vAlign w:val="center"/>
          </w:tcPr>
          <w:p w14:paraId="0F37D6F9" w14:textId="77777777" w:rsidR="007A06CD" w:rsidRDefault="00C819AA" w:rsidP="004C6904">
            <w:pPr>
              <w:pStyle w:val="TableText1"/>
            </w:pPr>
            <w:r w:rsidRPr="00075756">
              <w:t>Originator</w:t>
            </w:r>
            <w:r>
              <w:t>:</w:t>
            </w:r>
          </w:p>
          <w:p w14:paraId="18FDC796" w14:textId="0398726C" w:rsidR="00C819AA" w:rsidRPr="00075756" w:rsidRDefault="00AA0501" w:rsidP="004C6904">
            <w:pPr>
              <w:pStyle w:val="TableText1"/>
            </w:pPr>
            <w:r>
              <w:t>Tony Potts</w:t>
            </w:r>
          </w:p>
        </w:tc>
        <w:tc>
          <w:tcPr>
            <w:tcW w:w="2573" w:type="dxa"/>
            <w:vAlign w:val="center"/>
          </w:tcPr>
          <w:p w14:paraId="5ADE90F2" w14:textId="71ABBEDD" w:rsidR="007A06CD" w:rsidRPr="00075756" w:rsidRDefault="000F45BB" w:rsidP="004C6904">
            <w:pPr>
              <w:pStyle w:val="TableText1"/>
            </w:pPr>
            <w:r w:rsidRPr="000F45BB">
              <w:t xml:space="preserve">Senior Business Partner </w:t>
            </w:r>
            <w:r w:rsidR="006E7C0E">
              <w:t>(</w:t>
            </w:r>
            <w:r w:rsidRPr="000F45BB">
              <w:t>Procurement)</w:t>
            </w:r>
          </w:p>
        </w:tc>
        <w:tc>
          <w:tcPr>
            <w:tcW w:w="2224" w:type="dxa"/>
            <w:vAlign w:val="center"/>
          </w:tcPr>
          <w:p w14:paraId="276B780A" w14:textId="2DBC0A28" w:rsidR="007A06CD" w:rsidRPr="00075756" w:rsidRDefault="00482C37" w:rsidP="004C6904">
            <w:pPr>
              <w:pStyle w:val="TableText1"/>
            </w:pPr>
            <w:r>
              <w:rPr>
                <w:noProof/>
                <w:lang w:eastAsia="en-GB"/>
              </w:rPr>
              <w:drawing>
                <wp:inline distT="0" distB="0" distL="0" distR="0" wp14:anchorId="21DE5FD9" wp14:editId="6B0FCDF6">
                  <wp:extent cx="1464129" cy="410139"/>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4020" cy="410108"/>
                          </a:xfrm>
                          <a:prstGeom prst="rect">
                            <a:avLst/>
                          </a:prstGeom>
                          <a:noFill/>
                          <a:ln>
                            <a:noFill/>
                          </a:ln>
                        </pic:spPr>
                      </pic:pic>
                    </a:graphicData>
                  </a:graphic>
                </wp:inline>
              </w:drawing>
            </w:r>
          </w:p>
        </w:tc>
        <w:tc>
          <w:tcPr>
            <w:tcW w:w="2380" w:type="dxa"/>
            <w:vAlign w:val="center"/>
          </w:tcPr>
          <w:p w14:paraId="60E8DD04" w14:textId="2223BD11" w:rsidR="007A06CD" w:rsidRPr="00075756" w:rsidRDefault="00482C37" w:rsidP="004C6904">
            <w:pPr>
              <w:pStyle w:val="TableText1"/>
            </w:pPr>
            <w:r>
              <w:t>17/06/2025</w:t>
            </w:r>
          </w:p>
        </w:tc>
      </w:tr>
      <w:tr w:rsidR="007A06CD" w:rsidRPr="00BE5982" w14:paraId="058102E6" w14:textId="77777777" w:rsidTr="006E7C0E">
        <w:tc>
          <w:tcPr>
            <w:tcW w:w="2384" w:type="dxa"/>
            <w:vAlign w:val="center"/>
          </w:tcPr>
          <w:p w14:paraId="320B597E" w14:textId="77777777" w:rsidR="007A06CD" w:rsidRDefault="00C819AA" w:rsidP="004C6904">
            <w:pPr>
              <w:pStyle w:val="TableText1"/>
            </w:pPr>
            <w:r w:rsidRPr="00075756">
              <w:t>Reviewer</w:t>
            </w:r>
            <w:r>
              <w:t>:</w:t>
            </w:r>
          </w:p>
          <w:p w14:paraId="54308DBA" w14:textId="017790BB" w:rsidR="00C819AA" w:rsidRPr="00075756" w:rsidRDefault="00AA0501" w:rsidP="004C6904">
            <w:pPr>
              <w:pStyle w:val="TableText1"/>
            </w:pPr>
            <w:r>
              <w:t>Andre</w:t>
            </w:r>
            <w:r w:rsidR="000F45BB">
              <w:t>w Batstone</w:t>
            </w:r>
          </w:p>
        </w:tc>
        <w:tc>
          <w:tcPr>
            <w:tcW w:w="2573" w:type="dxa"/>
            <w:vAlign w:val="center"/>
          </w:tcPr>
          <w:p w14:paraId="65B9F39B" w14:textId="03973989" w:rsidR="007A06CD" w:rsidRPr="00075756" w:rsidRDefault="00B04916" w:rsidP="004C6904">
            <w:pPr>
              <w:pStyle w:val="TableText1"/>
            </w:pPr>
            <w:r w:rsidRPr="00B04916">
              <w:t>Commercial Strategy Lead (Infrastructure)</w:t>
            </w:r>
          </w:p>
        </w:tc>
        <w:tc>
          <w:tcPr>
            <w:tcW w:w="2224" w:type="dxa"/>
            <w:vAlign w:val="center"/>
          </w:tcPr>
          <w:p w14:paraId="29C375C0" w14:textId="5ED25CD5" w:rsidR="007A06CD" w:rsidRPr="00075756" w:rsidRDefault="005738A1" w:rsidP="004C6904">
            <w:pPr>
              <w:pStyle w:val="TableText1"/>
            </w:pPr>
            <w:r>
              <w:rPr>
                <w:noProof/>
              </w:rPr>
              <w:drawing>
                <wp:inline distT="0" distB="0" distL="0" distR="0" wp14:anchorId="4740508A" wp14:editId="06C982AA">
                  <wp:extent cx="812800" cy="686033"/>
                  <wp:effectExtent l="0" t="0" r="6350" b="0"/>
                  <wp:docPr id="95778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85673" name="Picture 95778567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17972" cy="690398"/>
                          </a:xfrm>
                          <a:prstGeom prst="rect">
                            <a:avLst/>
                          </a:prstGeom>
                        </pic:spPr>
                      </pic:pic>
                    </a:graphicData>
                  </a:graphic>
                </wp:inline>
              </w:drawing>
            </w:r>
          </w:p>
        </w:tc>
        <w:tc>
          <w:tcPr>
            <w:tcW w:w="2380" w:type="dxa"/>
            <w:vAlign w:val="center"/>
          </w:tcPr>
          <w:p w14:paraId="4A890491" w14:textId="6442847C" w:rsidR="007A06CD" w:rsidRPr="00075756" w:rsidRDefault="0023654E" w:rsidP="004C6904">
            <w:pPr>
              <w:pStyle w:val="TableText1"/>
            </w:pPr>
            <w:r>
              <w:t>08/07/25</w:t>
            </w:r>
          </w:p>
        </w:tc>
      </w:tr>
      <w:tr w:rsidR="007A06CD" w:rsidRPr="00BE5982" w14:paraId="4FD42D39" w14:textId="77777777" w:rsidTr="006E7C0E">
        <w:tc>
          <w:tcPr>
            <w:tcW w:w="2384" w:type="dxa"/>
            <w:vAlign w:val="center"/>
          </w:tcPr>
          <w:p w14:paraId="78919503" w14:textId="77777777" w:rsidR="007A06CD" w:rsidRDefault="00C819AA" w:rsidP="004C6904">
            <w:pPr>
              <w:pStyle w:val="TableText1"/>
            </w:pPr>
            <w:r w:rsidRPr="00075756">
              <w:t>Approval</w:t>
            </w:r>
            <w:r>
              <w:t>:</w:t>
            </w:r>
          </w:p>
          <w:p w14:paraId="4158EB53" w14:textId="69C61442" w:rsidR="00C819AA" w:rsidRPr="00075756" w:rsidRDefault="00B04916" w:rsidP="004C6904">
            <w:pPr>
              <w:pStyle w:val="TableText1"/>
            </w:pPr>
            <w:r>
              <w:t>TBD</w:t>
            </w:r>
          </w:p>
        </w:tc>
        <w:tc>
          <w:tcPr>
            <w:tcW w:w="2573" w:type="dxa"/>
            <w:vAlign w:val="center"/>
          </w:tcPr>
          <w:p w14:paraId="0B48AAB8" w14:textId="7B937B60" w:rsidR="007A06CD" w:rsidRPr="00075756" w:rsidRDefault="002069B6" w:rsidP="004C6904">
            <w:pPr>
              <w:pStyle w:val="TableText1"/>
            </w:pPr>
            <w:r w:rsidRPr="002069B6">
              <w:t>GDF Programme Manager - Enabling</w:t>
            </w:r>
          </w:p>
        </w:tc>
        <w:tc>
          <w:tcPr>
            <w:tcW w:w="2224" w:type="dxa"/>
            <w:vAlign w:val="center"/>
          </w:tcPr>
          <w:p w14:paraId="7DCA06F8" w14:textId="3D2E150A" w:rsidR="007A06CD" w:rsidRPr="00075756" w:rsidRDefault="007A06CD" w:rsidP="004C6904">
            <w:pPr>
              <w:pStyle w:val="TableText1"/>
            </w:pPr>
          </w:p>
        </w:tc>
        <w:tc>
          <w:tcPr>
            <w:tcW w:w="2380" w:type="dxa"/>
            <w:vAlign w:val="center"/>
          </w:tcPr>
          <w:p w14:paraId="4A7A45CA" w14:textId="7791FFBE" w:rsidR="007A06CD" w:rsidRPr="00075756" w:rsidRDefault="007A06CD" w:rsidP="004C6904">
            <w:pPr>
              <w:pStyle w:val="TableText1"/>
            </w:pPr>
          </w:p>
        </w:tc>
      </w:tr>
    </w:tbl>
    <w:p w14:paraId="19D7D18E" w14:textId="77777777" w:rsidR="007A06CD" w:rsidRPr="00627340" w:rsidRDefault="007A06CD" w:rsidP="00E016AA">
      <w:pPr>
        <w:pStyle w:val="TableText1"/>
      </w:pPr>
    </w:p>
    <w:p w14:paraId="078EF301" w14:textId="77777777" w:rsidR="007A06CD" w:rsidRPr="00BE5982" w:rsidRDefault="007A06CD" w:rsidP="00CE214F">
      <w:r w:rsidRPr="00BE5982">
        <w:t>Version Control</w:t>
      </w:r>
    </w:p>
    <w:p w14:paraId="120D2C9B" w14:textId="77777777" w:rsidR="00407BD2" w:rsidRPr="00627340" w:rsidRDefault="00407BD2" w:rsidP="00627340"/>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578"/>
        <w:gridCol w:w="2211"/>
        <w:gridCol w:w="2393"/>
      </w:tblGrid>
      <w:tr w:rsidR="007A06CD" w:rsidRPr="00BE5982" w14:paraId="077A485D" w14:textId="77777777" w:rsidTr="006E7C0E">
        <w:tc>
          <w:tcPr>
            <w:tcW w:w="2379" w:type="dxa"/>
            <w:shd w:val="clear" w:color="auto" w:fill="003B3A"/>
          </w:tcPr>
          <w:p w14:paraId="1E74F57A" w14:textId="77777777" w:rsidR="007A06CD" w:rsidRPr="00BE5982" w:rsidRDefault="007A06CD" w:rsidP="00407BD2">
            <w:pPr>
              <w:spacing w:before="0"/>
            </w:pPr>
            <w:r w:rsidRPr="00BE5982">
              <w:t>Version</w:t>
            </w:r>
          </w:p>
        </w:tc>
        <w:tc>
          <w:tcPr>
            <w:tcW w:w="2578" w:type="dxa"/>
            <w:shd w:val="clear" w:color="auto" w:fill="003B3A"/>
          </w:tcPr>
          <w:p w14:paraId="07FA0185" w14:textId="77777777" w:rsidR="007A06CD" w:rsidRPr="00BE5982" w:rsidRDefault="007A06CD" w:rsidP="00407BD2">
            <w:pPr>
              <w:spacing w:before="0"/>
            </w:pPr>
            <w:r w:rsidRPr="00BE5982">
              <w:t>Amendment</w:t>
            </w:r>
          </w:p>
        </w:tc>
        <w:tc>
          <w:tcPr>
            <w:tcW w:w="2211" w:type="dxa"/>
            <w:shd w:val="clear" w:color="auto" w:fill="003B3A"/>
          </w:tcPr>
          <w:p w14:paraId="1D1907A3" w14:textId="77777777" w:rsidR="007A06CD" w:rsidRPr="00BE5982" w:rsidRDefault="007A06CD" w:rsidP="00407BD2">
            <w:pPr>
              <w:spacing w:before="0"/>
            </w:pPr>
            <w:r w:rsidRPr="00BE5982">
              <w:t>Approval</w:t>
            </w:r>
          </w:p>
        </w:tc>
        <w:tc>
          <w:tcPr>
            <w:tcW w:w="2393" w:type="dxa"/>
            <w:shd w:val="clear" w:color="auto" w:fill="003B3A"/>
          </w:tcPr>
          <w:p w14:paraId="6446B428" w14:textId="77777777" w:rsidR="007A06CD" w:rsidRPr="00BE5982" w:rsidRDefault="007A06CD" w:rsidP="00407BD2">
            <w:pPr>
              <w:spacing w:before="0"/>
            </w:pPr>
            <w:r w:rsidRPr="00BE5982">
              <w:t>Date</w:t>
            </w:r>
          </w:p>
        </w:tc>
      </w:tr>
      <w:tr w:rsidR="007A06CD" w:rsidRPr="00BE5982" w14:paraId="639DD7E0" w14:textId="77777777" w:rsidTr="006E7C0E">
        <w:tc>
          <w:tcPr>
            <w:tcW w:w="2379" w:type="dxa"/>
            <w:vAlign w:val="center"/>
          </w:tcPr>
          <w:p w14:paraId="7936C57D" w14:textId="42676C08" w:rsidR="007A06CD" w:rsidRPr="009719FF" w:rsidRDefault="005707D8" w:rsidP="008839DF">
            <w:pPr>
              <w:rPr>
                <w:b/>
              </w:rPr>
            </w:pPr>
            <w:r>
              <w:t>0</w:t>
            </w:r>
            <w:r w:rsidR="005E7528">
              <w:t>1</w:t>
            </w:r>
            <w:r w:rsidR="00917B37">
              <w:t xml:space="preserve"> – Draft</w:t>
            </w:r>
          </w:p>
        </w:tc>
        <w:tc>
          <w:tcPr>
            <w:tcW w:w="2578" w:type="dxa"/>
            <w:vAlign w:val="center"/>
          </w:tcPr>
          <w:p w14:paraId="454344F8" w14:textId="1449B81A" w:rsidR="007A06CD" w:rsidRPr="009719FF" w:rsidRDefault="007A06CD" w:rsidP="008839DF"/>
        </w:tc>
        <w:tc>
          <w:tcPr>
            <w:tcW w:w="2211" w:type="dxa"/>
            <w:vAlign w:val="center"/>
          </w:tcPr>
          <w:p w14:paraId="40B9C1F9" w14:textId="14A836C4" w:rsidR="007A06CD" w:rsidRPr="009719FF" w:rsidRDefault="007A06CD" w:rsidP="008839DF"/>
        </w:tc>
        <w:tc>
          <w:tcPr>
            <w:tcW w:w="2393" w:type="dxa"/>
            <w:vAlign w:val="center"/>
          </w:tcPr>
          <w:p w14:paraId="31534C2B" w14:textId="2F1F8EEE" w:rsidR="007A06CD" w:rsidRPr="009719FF" w:rsidRDefault="007A06CD" w:rsidP="008839DF"/>
        </w:tc>
      </w:tr>
      <w:tr w:rsidR="00793905" w:rsidRPr="00BE5982" w14:paraId="01A388B6" w14:textId="77777777" w:rsidTr="006E7C0E">
        <w:tc>
          <w:tcPr>
            <w:tcW w:w="2379" w:type="dxa"/>
            <w:vAlign w:val="center"/>
          </w:tcPr>
          <w:p w14:paraId="396F8671" w14:textId="37B52D98" w:rsidR="00793905" w:rsidRPr="00610451" w:rsidRDefault="005707D8" w:rsidP="008839DF">
            <w:r w:rsidRPr="00610451">
              <w:t>02</w:t>
            </w:r>
          </w:p>
        </w:tc>
        <w:tc>
          <w:tcPr>
            <w:tcW w:w="2578" w:type="dxa"/>
            <w:vAlign w:val="center"/>
          </w:tcPr>
          <w:p w14:paraId="06855D45" w14:textId="312D1A1E" w:rsidR="00793905" w:rsidRPr="009719FF" w:rsidRDefault="00793905" w:rsidP="008839DF"/>
        </w:tc>
        <w:tc>
          <w:tcPr>
            <w:tcW w:w="2211" w:type="dxa"/>
            <w:vAlign w:val="center"/>
          </w:tcPr>
          <w:p w14:paraId="4557C6BB" w14:textId="44815881" w:rsidR="00793905" w:rsidRPr="009719FF" w:rsidRDefault="00793905" w:rsidP="008839DF"/>
        </w:tc>
        <w:tc>
          <w:tcPr>
            <w:tcW w:w="2393" w:type="dxa"/>
            <w:vAlign w:val="center"/>
          </w:tcPr>
          <w:p w14:paraId="536FC348" w14:textId="75A2ED96" w:rsidR="00793905" w:rsidRPr="009719FF" w:rsidRDefault="00793905" w:rsidP="008839DF"/>
        </w:tc>
      </w:tr>
      <w:tr w:rsidR="00793905" w:rsidRPr="00BE5982" w14:paraId="5FCF9E1E" w14:textId="77777777" w:rsidTr="006E7C0E">
        <w:tc>
          <w:tcPr>
            <w:tcW w:w="2379" w:type="dxa"/>
            <w:vAlign w:val="center"/>
          </w:tcPr>
          <w:p w14:paraId="79C062A4" w14:textId="27B5FDA9" w:rsidR="00793905" w:rsidRPr="00610451" w:rsidRDefault="005707D8" w:rsidP="008839DF">
            <w:r w:rsidRPr="00610451">
              <w:t>03</w:t>
            </w:r>
          </w:p>
        </w:tc>
        <w:tc>
          <w:tcPr>
            <w:tcW w:w="2578" w:type="dxa"/>
            <w:vAlign w:val="center"/>
          </w:tcPr>
          <w:p w14:paraId="64951414" w14:textId="738F57B8" w:rsidR="00793905" w:rsidRPr="009719FF" w:rsidRDefault="00793905" w:rsidP="008839DF"/>
        </w:tc>
        <w:tc>
          <w:tcPr>
            <w:tcW w:w="2211" w:type="dxa"/>
            <w:vAlign w:val="center"/>
          </w:tcPr>
          <w:p w14:paraId="46303B3A" w14:textId="424BDDF8" w:rsidR="00793905" w:rsidRPr="009719FF" w:rsidRDefault="00793905" w:rsidP="008839DF"/>
        </w:tc>
        <w:tc>
          <w:tcPr>
            <w:tcW w:w="2393" w:type="dxa"/>
            <w:vAlign w:val="center"/>
          </w:tcPr>
          <w:p w14:paraId="435CF27E" w14:textId="77CA509D" w:rsidR="00793905" w:rsidRPr="009719FF" w:rsidRDefault="00793905" w:rsidP="008839DF"/>
        </w:tc>
      </w:tr>
      <w:tr w:rsidR="00075756" w:rsidRPr="00BE5982" w14:paraId="063673A2" w14:textId="77777777" w:rsidTr="006E7C0E">
        <w:tc>
          <w:tcPr>
            <w:tcW w:w="2379" w:type="dxa"/>
            <w:vAlign w:val="center"/>
          </w:tcPr>
          <w:p w14:paraId="3D65BFBF" w14:textId="11C8BB8B" w:rsidR="00075756" w:rsidRPr="009719FF" w:rsidRDefault="00993138" w:rsidP="008839DF">
            <w:pPr>
              <w:rPr>
                <w:b/>
              </w:rPr>
            </w:pPr>
            <w:r w:rsidRPr="009719FF">
              <w:t>04</w:t>
            </w:r>
          </w:p>
        </w:tc>
        <w:tc>
          <w:tcPr>
            <w:tcW w:w="2578" w:type="dxa"/>
            <w:vAlign w:val="center"/>
          </w:tcPr>
          <w:p w14:paraId="0379E033" w14:textId="23DDAD71" w:rsidR="00075756" w:rsidRPr="009719FF" w:rsidRDefault="00075756" w:rsidP="008839DF"/>
        </w:tc>
        <w:tc>
          <w:tcPr>
            <w:tcW w:w="2211" w:type="dxa"/>
            <w:vAlign w:val="center"/>
          </w:tcPr>
          <w:p w14:paraId="759AC7E3" w14:textId="5B88A2E2" w:rsidR="00075756" w:rsidRPr="009719FF" w:rsidRDefault="00075756" w:rsidP="008839DF"/>
        </w:tc>
        <w:tc>
          <w:tcPr>
            <w:tcW w:w="2393" w:type="dxa"/>
            <w:vAlign w:val="center"/>
          </w:tcPr>
          <w:p w14:paraId="4DF3349E" w14:textId="38ACE2E1" w:rsidR="00075756" w:rsidRPr="009719FF" w:rsidRDefault="00075756" w:rsidP="008839DF"/>
        </w:tc>
      </w:tr>
      <w:tr w:rsidR="00075756" w:rsidRPr="00BE5982" w14:paraId="0FF7B7E4" w14:textId="77777777" w:rsidTr="006E7C0E">
        <w:tc>
          <w:tcPr>
            <w:tcW w:w="2379" w:type="dxa"/>
            <w:vAlign w:val="center"/>
          </w:tcPr>
          <w:p w14:paraId="71FEC658" w14:textId="21279CB2" w:rsidR="00075756" w:rsidRPr="009719FF" w:rsidRDefault="00993138" w:rsidP="008839DF">
            <w:pPr>
              <w:rPr>
                <w:b/>
              </w:rPr>
            </w:pPr>
            <w:r w:rsidRPr="009719FF">
              <w:t>05</w:t>
            </w:r>
          </w:p>
        </w:tc>
        <w:tc>
          <w:tcPr>
            <w:tcW w:w="2578" w:type="dxa"/>
            <w:vAlign w:val="center"/>
          </w:tcPr>
          <w:p w14:paraId="560C1C86" w14:textId="04045136" w:rsidR="00075756" w:rsidRPr="009719FF" w:rsidRDefault="00075756" w:rsidP="008839DF"/>
        </w:tc>
        <w:tc>
          <w:tcPr>
            <w:tcW w:w="2211" w:type="dxa"/>
            <w:vAlign w:val="center"/>
          </w:tcPr>
          <w:p w14:paraId="29AF1294" w14:textId="7610F7EE" w:rsidR="00075756" w:rsidRPr="009719FF" w:rsidRDefault="00075756" w:rsidP="008839DF"/>
        </w:tc>
        <w:tc>
          <w:tcPr>
            <w:tcW w:w="2393" w:type="dxa"/>
            <w:vAlign w:val="center"/>
          </w:tcPr>
          <w:p w14:paraId="3C687FB3" w14:textId="5D252BDF" w:rsidR="00075756" w:rsidRPr="009719FF" w:rsidRDefault="00075756" w:rsidP="008839DF"/>
        </w:tc>
      </w:tr>
      <w:tr w:rsidR="00075756" w:rsidRPr="00BE5982" w14:paraId="497ECB77" w14:textId="77777777" w:rsidTr="006E7C0E">
        <w:tc>
          <w:tcPr>
            <w:tcW w:w="2379" w:type="dxa"/>
            <w:vAlign w:val="center"/>
          </w:tcPr>
          <w:p w14:paraId="2D5672B5" w14:textId="7E15EE05" w:rsidR="00075756" w:rsidRPr="009719FF" w:rsidRDefault="00993138" w:rsidP="008839DF">
            <w:pPr>
              <w:rPr>
                <w:b/>
              </w:rPr>
            </w:pPr>
            <w:r w:rsidRPr="009719FF">
              <w:t>06</w:t>
            </w:r>
          </w:p>
        </w:tc>
        <w:tc>
          <w:tcPr>
            <w:tcW w:w="2578" w:type="dxa"/>
            <w:vAlign w:val="center"/>
          </w:tcPr>
          <w:p w14:paraId="687B4B2A" w14:textId="74F95458" w:rsidR="00075756" w:rsidRPr="009719FF" w:rsidRDefault="00075756" w:rsidP="008839DF"/>
        </w:tc>
        <w:tc>
          <w:tcPr>
            <w:tcW w:w="2211" w:type="dxa"/>
            <w:vAlign w:val="center"/>
          </w:tcPr>
          <w:p w14:paraId="5CFF7A0D" w14:textId="4F1BB4F1" w:rsidR="00075756" w:rsidRPr="009719FF" w:rsidRDefault="00075756" w:rsidP="008839DF"/>
        </w:tc>
        <w:tc>
          <w:tcPr>
            <w:tcW w:w="2393" w:type="dxa"/>
            <w:vAlign w:val="center"/>
          </w:tcPr>
          <w:p w14:paraId="4FFA1EDC" w14:textId="34AC3FE3" w:rsidR="00075756" w:rsidRPr="009719FF" w:rsidRDefault="00075756" w:rsidP="008839DF"/>
        </w:tc>
      </w:tr>
      <w:tr w:rsidR="00075756" w:rsidRPr="00BE5982" w14:paraId="4789E7EC" w14:textId="77777777" w:rsidTr="006E7C0E">
        <w:tc>
          <w:tcPr>
            <w:tcW w:w="2379" w:type="dxa"/>
            <w:vAlign w:val="center"/>
          </w:tcPr>
          <w:p w14:paraId="413804ED" w14:textId="387D91F7" w:rsidR="00075756" w:rsidRPr="009719FF" w:rsidRDefault="00993138" w:rsidP="008839DF">
            <w:pPr>
              <w:rPr>
                <w:b/>
              </w:rPr>
            </w:pPr>
            <w:r w:rsidRPr="009719FF">
              <w:t>07</w:t>
            </w:r>
          </w:p>
        </w:tc>
        <w:tc>
          <w:tcPr>
            <w:tcW w:w="2578" w:type="dxa"/>
            <w:vAlign w:val="center"/>
          </w:tcPr>
          <w:p w14:paraId="1D21D2EA" w14:textId="3BD8B17E" w:rsidR="00075756" w:rsidRPr="009719FF" w:rsidRDefault="00075756" w:rsidP="008839DF"/>
        </w:tc>
        <w:tc>
          <w:tcPr>
            <w:tcW w:w="2211" w:type="dxa"/>
            <w:vAlign w:val="center"/>
          </w:tcPr>
          <w:p w14:paraId="35A5142E" w14:textId="6BD740AA" w:rsidR="00075756" w:rsidRPr="009719FF" w:rsidRDefault="00075756" w:rsidP="008839DF"/>
        </w:tc>
        <w:tc>
          <w:tcPr>
            <w:tcW w:w="2393" w:type="dxa"/>
            <w:vAlign w:val="center"/>
          </w:tcPr>
          <w:p w14:paraId="1903F2E5" w14:textId="1C25A929" w:rsidR="00075756" w:rsidRPr="009719FF" w:rsidRDefault="00075756" w:rsidP="008839DF"/>
        </w:tc>
      </w:tr>
      <w:tr w:rsidR="00075756" w:rsidRPr="00BE5982" w14:paraId="129FB77A" w14:textId="77777777" w:rsidTr="006E7C0E">
        <w:tc>
          <w:tcPr>
            <w:tcW w:w="2379" w:type="dxa"/>
            <w:vAlign w:val="center"/>
          </w:tcPr>
          <w:p w14:paraId="1093336F" w14:textId="1F3945A8" w:rsidR="00075756" w:rsidRPr="009719FF" w:rsidRDefault="00993138" w:rsidP="008839DF">
            <w:pPr>
              <w:rPr>
                <w:b/>
              </w:rPr>
            </w:pPr>
            <w:r w:rsidRPr="009719FF">
              <w:t>08</w:t>
            </w:r>
          </w:p>
        </w:tc>
        <w:tc>
          <w:tcPr>
            <w:tcW w:w="2578" w:type="dxa"/>
            <w:vAlign w:val="center"/>
          </w:tcPr>
          <w:p w14:paraId="7A28F5F9" w14:textId="08507A48" w:rsidR="00075756" w:rsidRPr="009719FF" w:rsidRDefault="00075756" w:rsidP="008839DF"/>
        </w:tc>
        <w:tc>
          <w:tcPr>
            <w:tcW w:w="2211" w:type="dxa"/>
            <w:vAlign w:val="center"/>
          </w:tcPr>
          <w:p w14:paraId="10714AB2" w14:textId="33C42F1F" w:rsidR="00075756" w:rsidRPr="009719FF" w:rsidRDefault="00075756" w:rsidP="008839DF"/>
        </w:tc>
        <w:tc>
          <w:tcPr>
            <w:tcW w:w="2393" w:type="dxa"/>
            <w:vAlign w:val="center"/>
          </w:tcPr>
          <w:p w14:paraId="654B3E3E" w14:textId="031E12CF" w:rsidR="00075756" w:rsidRPr="009719FF" w:rsidRDefault="00075756" w:rsidP="008839DF"/>
        </w:tc>
      </w:tr>
      <w:tr w:rsidR="00075756" w:rsidRPr="00BE5982" w14:paraId="4266B5E1" w14:textId="77777777" w:rsidTr="006E7C0E">
        <w:tc>
          <w:tcPr>
            <w:tcW w:w="2379" w:type="dxa"/>
            <w:vAlign w:val="center"/>
          </w:tcPr>
          <w:p w14:paraId="144E8CD4" w14:textId="5E63F5E3" w:rsidR="00075756" w:rsidRPr="009719FF" w:rsidRDefault="00993138" w:rsidP="008839DF">
            <w:pPr>
              <w:rPr>
                <w:b/>
              </w:rPr>
            </w:pPr>
            <w:r w:rsidRPr="009719FF">
              <w:t>09</w:t>
            </w:r>
          </w:p>
        </w:tc>
        <w:tc>
          <w:tcPr>
            <w:tcW w:w="2578" w:type="dxa"/>
            <w:vAlign w:val="center"/>
          </w:tcPr>
          <w:p w14:paraId="247D5BC3" w14:textId="3AF7C210" w:rsidR="00075756" w:rsidRPr="009719FF" w:rsidRDefault="00075756" w:rsidP="008839DF"/>
        </w:tc>
        <w:tc>
          <w:tcPr>
            <w:tcW w:w="2211" w:type="dxa"/>
            <w:vAlign w:val="center"/>
          </w:tcPr>
          <w:p w14:paraId="78360AE6" w14:textId="6455645A" w:rsidR="00075756" w:rsidRPr="009719FF" w:rsidRDefault="00075756" w:rsidP="008839DF"/>
        </w:tc>
        <w:tc>
          <w:tcPr>
            <w:tcW w:w="2393" w:type="dxa"/>
            <w:vAlign w:val="center"/>
          </w:tcPr>
          <w:p w14:paraId="4C4D0933" w14:textId="126FC140" w:rsidR="00075756" w:rsidRPr="009719FF" w:rsidRDefault="00075756" w:rsidP="008839DF"/>
        </w:tc>
      </w:tr>
      <w:tr w:rsidR="00075756" w:rsidRPr="00BE5982" w14:paraId="7C3B39C2" w14:textId="77777777" w:rsidTr="006E7C0E">
        <w:tc>
          <w:tcPr>
            <w:tcW w:w="2379" w:type="dxa"/>
            <w:vAlign w:val="center"/>
          </w:tcPr>
          <w:p w14:paraId="795C5619" w14:textId="273B194C" w:rsidR="00075756" w:rsidRPr="009719FF" w:rsidRDefault="00993138" w:rsidP="008839DF">
            <w:pPr>
              <w:rPr>
                <w:b/>
              </w:rPr>
            </w:pPr>
            <w:r w:rsidRPr="009719FF">
              <w:t>10</w:t>
            </w:r>
          </w:p>
        </w:tc>
        <w:tc>
          <w:tcPr>
            <w:tcW w:w="2578" w:type="dxa"/>
            <w:vAlign w:val="center"/>
          </w:tcPr>
          <w:p w14:paraId="665FE35B" w14:textId="00C3F7F3" w:rsidR="00075756" w:rsidRPr="009719FF" w:rsidRDefault="00075756" w:rsidP="008839DF"/>
        </w:tc>
        <w:tc>
          <w:tcPr>
            <w:tcW w:w="2211" w:type="dxa"/>
            <w:vAlign w:val="center"/>
          </w:tcPr>
          <w:p w14:paraId="07A21804" w14:textId="26C5791C" w:rsidR="00075756" w:rsidRPr="009719FF" w:rsidRDefault="00075756" w:rsidP="008839DF"/>
        </w:tc>
        <w:tc>
          <w:tcPr>
            <w:tcW w:w="2393" w:type="dxa"/>
            <w:vAlign w:val="center"/>
          </w:tcPr>
          <w:p w14:paraId="708011E4" w14:textId="4DDCB2D5" w:rsidR="00075756" w:rsidRPr="009719FF" w:rsidRDefault="00075756" w:rsidP="008839DF"/>
        </w:tc>
      </w:tr>
      <w:tr w:rsidR="00C34272" w:rsidRPr="00BE5982" w14:paraId="00A1FA98" w14:textId="77777777" w:rsidTr="006E7C0E">
        <w:tc>
          <w:tcPr>
            <w:tcW w:w="2379" w:type="dxa"/>
            <w:vAlign w:val="center"/>
          </w:tcPr>
          <w:p w14:paraId="38D3B7B6" w14:textId="534298BA" w:rsidR="00C34272" w:rsidRPr="00C34272" w:rsidRDefault="00C34272" w:rsidP="008839DF">
            <w:pPr>
              <w:rPr>
                <w:b/>
                <w:bCs/>
              </w:rPr>
            </w:pPr>
            <w:r w:rsidRPr="00C34272">
              <w:t>11</w:t>
            </w:r>
          </w:p>
        </w:tc>
        <w:tc>
          <w:tcPr>
            <w:tcW w:w="2578" w:type="dxa"/>
            <w:vAlign w:val="center"/>
          </w:tcPr>
          <w:p w14:paraId="2D3B9B08" w14:textId="6532BBA9" w:rsidR="00C34272" w:rsidRPr="00C34272" w:rsidRDefault="00C34272" w:rsidP="008839DF"/>
        </w:tc>
        <w:tc>
          <w:tcPr>
            <w:tcW w:w="2211" w:type="dxa"/>
            <w:vAlign w:val="center"/>
          </w:tcPr>
          <w:p w14:paraId="62B75A8B" w14:textId="556D8276" w:rsidR="00C34272" w:rsidRPr="00C34272" w:rsidRDefault="00C34272" w:rsidP="008839DF"/>
        </w:tc>
        <w:tc>
          <w:tcPr>
            <w:tcW w:w="2393" w:type="dxa"/>
            <w:vAlign w:val="center"/>
          </w:tcPr>
          <w:p w14:paraId="2F198221" w14:textId="790BD168" w:rsidR="00C34272" w:rsidRPr="00C34272" w:rsidRDefault="00C34272" w:rsidP="008839DF"/>
        </w:tc>
      </w:tr>
    </w:tbl>
    <w:p w14:paraId="3AF1D6A4" w14:textId="77777777" w:rsidR="003B30FB" w:rsidRPr="00BE5982" w:rsidRDefault="003B30FB" w:rsidP="007C5C22">
      <w:pPr>
        <w:spacing w:before="0"/>
      </w:pPr>
    </w:p>
    <w:p w14:paraId="2389672D" w14:textId="77777777" w:rsidR="00775C9A" w:rsidRDefault="00775C9A" w:rsidP="00775C9A">
      <w:pPr>
        <w:spacing w:before="0"/>
      </w:pPr>
    </w:p>
    <w:p w14:paraId="3886EA8F" w14:textId="58133C68" w:rsidR="00185878" w:rsidRPr="00775C9A" w:rsidRDefault="00775C9A" w:rsidP="00775C9A">
      <w:pPr>
        <w:spacing w:before="0"/>
        <w:rPr>
          <w:i/>
          <w:iCs/>
        </w:rPr>
      </w:pPr>
      <w:r w:rsidRPr="00775C9A">
        <w:rPr>
          <w:i/>
          <w:iCs/>
        </w:rPr>
        <w:t>Note: Within this document, the term “</w:t>
      </w:r>
      <w:r w:rsidR="00D64CEA" w:rsidRPr="00775C9A">
        <w:rPr>
          <w:i/>
          <w:iCs/>
        </w:rPr>
        <w:t>C</w:t>
      </w:r>
      <w:r w:rsidR="00D64CEA">
        <w:rPr>
          <w:i/>
          <w:iCs/>
        </w:rPr>
        <w:t>onsultant</w:t>
      </w:r>
      <w:r w:rsidRPr="00775C9A">
        <w:rPr>
          <w:i/>
          <w:iCs/>
        </w:rPr>
        <w:t>” applies to companies or individuals working in the capacity of consultant, contractor or supplier for the Site Characterisation Delivery (SCDP). The term “Client” shall be read to mean “Nuclear Waste Services” and “NWS”.</w:t>
      </w:r>
    </w:p>
    <w:p w14:paraId="205CD61C" w14:textId="77777777" w:rsidR="00185878" w:rsidRDefault="00185878">
      <w:pPr>
        <w:spacing w:before="0"/>
      </w:pPr>
      <w:r>
        <w:br w:type="page"/>
      </w:r>
    </w:p>
    <w:sdt>
      <w:sdtPr>
        <w:rPr>
          <w:rFonts w:ascii="Arial" w:eastAsia="Times New Roman" w:hAnsi="Arial" w:cs="Times New Roman"/>
          <w:color w:val="auto"/>
          <w:sz w:val="22"/>
          <w:szCs w:val="24"/>
          <w:lang w:val="en-GB"/>
        </w:rPr>
        <w:id w:val="2049794246"/>
        <w:docPartObj>
          <w:docPartGallery w:val="Table of Contents"/>
          <w:docPartUnique/>
        </w:docPartObj>
      </w:sdtPr>
      <w:sdtEndPr>
        <w:rPr>
          <w:b/>
          <w:bCs/>
          <w:szCs w:val="22"/>
        </w:rPr>
      </w:sdtEndPr>
      <w:sdtContent>
        <w:p w14:paraId="3740A5D5" w14:textId="6A258972" w:rsidR="00F02DD6" w:rsidRPr="005357F3" w:rsidRDefault="00F02DD6">
          <w:pPr>
            <w:pStyle w:val="TOCHeading"/>
            <w:rPr>
              <w:rFonts w:ascii="Arial" w:hAnsi="Arial" w:cs="Arial"/>
              <w:b/>
              <w:bCs/>
              <w:color w:val="003629"/>
            </w:rPr>
          </w:pPr>
          <w:r w:rsidRPr="005357F3">
            <w:rPr>
              <w:rFonts w:ascii="Arial" w:hAnsi="Arial" w:cs="Arial"/>
              <w:b/>
              <w:bCs/>
              <w:color w:val="003629"/>
            </w:rPr>
            <w:t>Contents</w:t>
          </w:r>
        </w:p>
        <w:p w14:paraId="48323CB9" w14:textId="1BC9F96A" w:rsidR="00B156B4" w:rsidRDefault="00F02DD6">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r>
            <w:fldChar w:fldCharType="begin"/>
          </w:r>
          <w:r>
            <w:instrText xml:space="preserve"> TOC \o "1-3" \h \z \u </w:instrText>
          </w:r>
          <w:r>
            <w:fldChar w:fldCharType="separate"/>
          </w:r>
          <w:hyperlink w:anchor="_Toc198818585" w:history="1">
            <w:r w:rsidR="00B156B4" w:rsidRPr="003246BD">
              <w:rPr>
                <w:rStyle w:val="Hyperlink"/>
                <w:iCs/>
                <w:noProof/>
              </w:rPr>
              <w:t>1</w:t>
            </w:r>
            <w:r w:rsidR="00B156B4">
              <w:rPr>
                <w:rFonts w:asciiTheme="minorHAnsi" w:eastAsiaTheme="minorEastAsia" w:hAnsiTheme="minorHAnsi" w:cstheme="minorBidi"/>
                <w:noProof/>
                <w:kern w:val="2"/>
                <w:sz w:val="24"/>
                <w:lang w:eastAsia="en-GB"/>
                <w14:ligatures w14:val="standardContextual"/>
              </w:rPr>
              <w:tab/>
            </w:r>
            <w:r w:rsidR="00B156B4" w:rsidRPr="003246BD">
              <w:rPr>
                <w:rStyle w:val="Hyperlink"/>
                <w:noProof/>
              </w:rPr>
              <w:t>Purpose of this document</w:t>
            </w:r>
            <w:r w:rsidR="00B156B4">
              <w:rPr>
                <w:noProof/>
                <w:webHidden/>
              </w:rPr>
              <w:tab/>
            </w:r>
            <w:r w:rsidR="00B156B4">
              <w:rPr>
                <w:noProof/>
                <w:webHidden/>
              </w:rPr>
              <w:fldChar w:fldCharType="begin"/>
            </w:r>
            <w:r w:rsidR="00B156B4">
              <w:rPr>
                <w:noProof/>
                <w:webHidden/>
              </w:rPr>
              <w:instrText xml:space="preserve"> PAGEREF _Toc198818585 \h </w:instrText>
            </w:r>
            <w:r w:rsidR="00B156B4">
              <w:rPr>
                <w:noProof/>
                <w:webHidden/>
              </w:rPr>
            </w:r>
            <w:r w:rsidR="00B156B4">
              <w:rPr>
                <w:noProof/>
                <w:webHidden/>
              </w:rPr>
              <w:fldChar w:fldCharType="separate"/>
            </w:r>
            <w:r w:rsidR="00F033CC">
              <w:rPr>
                <w:noProof/>
                <w:webHidden/>
              </w:rPr>
              <w:t>7</w:t>
            </w:r>
            <w:r w:rsidR="00B156B4">
              <w:rPr>
                <w:noProof/>
                <w:webHidden/>
              </w:rPr>
              <w:fldChar w:fldCharType="end"/>
            </w:r>
          </w:hyperlink>
        </w:p>
        <w:p w14:paraId="4A5061BE" w14:textId="69C5A414"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86" w:history="1">
            <w:r w:rsidRPr="003246BD">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2"/>
                <w:sz w:val="24"/>
                <w:lang w:eastAsia="en-GB"/>
                <w14:ligatures w14:val="standardContextual"/>
              </w:rPr>
              <w:tab/>
            </w:r>
            <w:r w:rsidRPr="003246BD">
              <w:rPr>
                <w:rStyle w:val="Hyperlink"/>
                <w:noProof/>
              </w:rPr>
              <w:t>Overview</w:t>
            </w:r>
            <w:r>
              <w:rPr>
                <w:noProof/>
                <w:webHidden/>
              </w:rPr>
              <w:tab/>
            </w:r>
            <w:r>
              <w:rPr>
                <w:noProof/>
                <w:webHidden/>
              </w:rPr>
              <w:fldChar w:fldCharType="begin"/>
            </w:r>
            <w:r>
              <w:rPr>
                <w:noProof/>
                <w:webHidden/>
              </w:rPr>
              <w:instrText xml:space="preserve"> PAGEREF _Toc198818586 \h </w:instrText>
            </w:r>
            <w:r>
              <w:rPr>
                <w:noProof/>
                <w:webHidden/>
              </w:rPr>
            </w:r>
            <w:r>
              <w:rPr>
                <w:noProof/>
                <w:webHidden/>
              </w:rPr>
              <w:fldChar w:fldCharType="separate"/>
            </w:r>
            <w:r w:rsidR="00F033CC">
              <w:rPr>
                <w:noProof/>
                <w:webHidden/>
              </w:rPr>
              <w:t>7</w:t>
            </w:r>
            <w:r>
              <w:rPr>
                <w:noProof/>
                <w:webHidden/>
              </w:rPr>
              <w:fldChar w:fldCharType="end"/>
            </w:r>
          </w:hyperlink>
        </w:p>
        <w:p w14:paraId="08C29C61" w14:textId="1CCEB089" w:rsidR="00B156B4" w:rsidRDefault="00B156B4">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8818587" w:history="1">
            <w:r w:rsidRPr="003246BD">
              <w:rPr>
                <w:rStyle w:val="Hyperlink"/>
                <w:iCs/>
                <w:noProof/>
              </w:rPr>
              <w:t>2</w:t>
            </w:r>
            <w:r>
              <w:rPr>
                <w:rFonts w:asciiTheme="minorHAnsi" w:eastAsiaTheme="minorEastAsia" w:hAnsiTheme="minorHAnsi" w:cstheme="minorBidi"/>
                <w:noProof/>
                <w:kern w:val="2"/>
                <w:sz w:val="24"/>
                <w:lang w:eastAsia="en-GB"/>
                <w14:ligatures w14:val="standardContextual"/>
              </w:rPr>
              <w:tab/>
            </w:r>
            <w:r w:rsidRPr="003246BD">
              <w:rPr>
                <w:rStyle w:val="Hyperlink"/>
                <w:noProof/>
              </w:rPr>
              <w:t>Overview of the SFI</w:t>
            </w:r>
            <w:r>
              <w:rPr>
                <w:noProof/>
                <w:webHidden/>
              </w:rPr>
              <w:tab/>
            </w:r>
            <w:r>
              <w:rPr>
                <w:noProof/>
                <w:webHidden/>
              </w:rPr>
              <w:fldChar w:fldCharType="begin"/>
            </w:r>
            <w:r>
              <w:rPr>
                <w:noProof/>
                <w:webHidden/>
              </w:rPr>
              <w:instrText xml:space="preserve"> PAGEREF _Toc198818587 \h </w:instrText>
            </w:r>
            <w:r>
              <w:rPr>
                <w:noProof/>
                <w:webHidden/>
              </w:rPr>
            </w:r>
            <w:r>
              <w:rPr>
                <w:noProof/>
                <w:webHidden/>
              </w:rPr>
              <w:fldChar w:fldCharType="separate"/>
            </w:r>
            <w:r w:rsidR="00F033CC">
              <w:rPr>
                <w:noProof/>
                <w:webHidden/>
              </w:rPr>
              <w:t>8</w:t>
            </w:r>
            <w:r>
              <w:rPr>
                <w:noProof/>
                <w:webHidden/>
              </w:rPr>
              <w:fldChar w:fldCharType="end"/>
            </w:r>
          </w:hyperlink>
        </w:p>
        <w:p w14:paraId="2CF5ED5C" w14:textId="6B67DE74"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88" w:history="1">
            <w:r w:rsidRPr="003246BD">
              <w:rPr>
                <w:rStyle w:val="Hyperlink"/>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What is the SFI?</w:t>
            </w:r>
            <w:r>
              <w:rPr>
                <w:noProof/>
                <w:webHidden/>
              </w:rPr>
              <w:tab/>
            </w:r>
            <w:r>
              <w:rPr>
                <w:noProof/>
                <w:webHidden/>
              </w:rPr>
              <w:fldChar w:fldCharType="begin"/>
            </w:r>
            <w:r>
              <w:rPr>
                <w:noProof/>
                <w:webHidden/>
              </w:rPr>
              <w:instrText xml:space="preserve"> PAGEREF _Toc198818588 \h </w:instrText>
            </w:r>
            <w:r>
              <w:rPr>
                <w:noProof/>
                <w:webHidden/>
              </w:rPr>
            </w:r>
            <w:r>
              <w:rPr>
                <w:noProof/>
                <w:webHidden/>
              </w:rPr>
              <w:fldChar w:fldCharType="separate"/>
            </w:r>
            <w:r w:rsidR="00F033CC">
              <w:rPr>
                <w:noProof/>
                <w:webHidden/>
              </w:rPr>
              <w:t>8</w:t>
            </w:r>
            <w:r>
              <w:rPr>
                <w:noProof/>
                <w:webHidden/>
              </w:rPr>
              <w:fldChar w:fldCharType="end"/>
            </w:r>
          </w:hyperlink>
        </w:p>
        <w:p w14:paraId="719FBE22" w14:textId="19BED0C6"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89" w:history="1">
            <w:r w:rsidRPr="003246BD">
              <w:rPr>
                <w:rStyle w:val="Hyperlink"/>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Which factors will determine the SFI performance calculation?</w:t>
            </w:r>
            <w:r>
              <w:rPr>
                <w:noProof/>
                <w:webHidden/>
              </w:rPr>
              <w:tab/>
            </w:r>
            <w:r>
              <w:rPr>
                <w:noProof/>
                <w:webHidden/>
              </w:rPr>
              <w:fldChar w:fldCharType="begin"/>
            </w:r>
            <w:r>
              <w:rPr>
                <w:noProof/>
                <w:webHidden/>
              </w:rPr>
              <w:instrText xml:space="preserve"> PAGEREF _Toc198818589 \h </w:instrText>
            </w:r>
            <w:r>
              <w:rPr>
                <w:noProof/>
                <w:webHidden/>
              </w:rPr>
            </w:r>
            <w:r>
              <w:rPr>
                <w:noProof/>
                <w:webHidden/>
              </w:rPr>
              <w:fldChar w:fldCharType="separate"/>
            </w:r>
            <w:r w:rsidR="00F033CC">
              <w:rPr>
                <w:noProof/>
                <w:webHidden/>
              </w:rPr>
              <w:t>8</w:t>
            </w:r>
            <w:r>
              <w:rPr>
                <w:noProof/>
                <w:webHidden/>
              </w:rPr>
              <w:fldChar w:fldCharType="end"/>
            </w:r>
          </w:hyperlink>
        </w:p>
        <w:p w14:paraId="184E04C8" w14:textId="0D7FF1FA" w:rsidR="00B156B4" w:rsidRDefault="00B156B4">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8818590" w:history="1">
            <w:r w:rsidRPr="003246BD">
              <w:rPr>
                <w:rStyle w:val="Hyperlink"/>
                <w:iCs/>
                <w:noProof/>
              </w:rPr>
              <w:t>3</w:t>
            </w:r>
            <w:r>
              <w:rPr>
                <w:rFonts w:asciiTheme="minorHAnsi" w:eastAsiaTheme="minorEastAsia" w:hAnsiTheme="minorHAnsi" w:cstheme="minorBidi"/>
                <w:noProof/>
                <w:kern w:val="2"/>
                <w:sz w:val="24"/>
                <w:lang w:eastAsia="en-GB"/>
                <w14:ligatures w14:val="standardContextual"/>
              </w:rPr>
              <w:tab/>
            </w:r>
            <w:r w:rsidRPr="003246BD">
              <w:rPr>
                <w:rStyle w:val="Hyperlink"/>
                <w:noProof/>
              </w:rPr>
              <w:t>Funding and applicability of the SFI</w:t>
            </w:r>
            <w:r>
              <w:rPr>
                <w:noProof/>
                <w:webHidden/>
              </w:rPr>
              <w:tab/>
            </w:r>
            <w:r>
              <w:rPr>
                <w:noProof/>
                <w:webHidden/>
              </w:rPr>
              <w:fldChar w:fldCharType="begin"/>
            </w:r>
            <w:r>
              <w:rPr>
                <w:noProof/>
                <w:webHidden/>
              </w:rPr>
              <w:instrText xml:space="preserve"> PAGEREF _Toc198818590 \h </w:instrText>
            </w:r>
            <w:r>
              <w:rPr>
                <w:noProof/>
                <w:webHidden/>
              </w:rPr>
            </w:r>
            <w:r>
              <w:rPr>
                <w:noProof/>
                <w:webHidden/>
              </w:rPr>
              <w:fldChar w:fldCharType="separate"/>
            </w:r>
            <w:r w:rsidR="00F033CC">
              <w:rPr>
                <w:noProof/>
                <w:webHidden/>
              </w:rPr>
              <w:t>9</w:t>
            </w:r>
            <w:r>
              <w:rPr>
                <w:noProof/>
                <w:webHidden/>
              </w:rPr>
              <w:fldChar w:fldCharType="end"/>
            </w:r>
          </w:hyperlink>
        </w:p>
        <w:p w14:paraId="041A2BD3" w14:textId="4E083819"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91" w:history="1">
            <w:r w:rsidRPr="003246BD">
              <w:rPr>
                <w:rStyle w:val="Hyperlink"/>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2"/>
                <w:sz w:val="24"/>
                <w:lang w:eastAsia="en-GB"/>
                <w14:ligatures w14:val="standardContextual"/>
              </w:rPr>
              <w:tab/>
            </w:r>
            <w:r w:rsidRPr="003246BD">
              <w:rPr>
                <w:rStyle w:val="Hyperlink"/>
                <w:noProof/>
              </w:rPr>
              <w:t>How will the funding work for the SFI?</w:t>
            </w:r>
            <w:r>
              <w:rPr>
                <w:noProof/>
                <w:webHidden/>
              </w:rPr>
              <w:tab/>
            </w:r>
            <w:r>
              <w:rPr>
                <w:noProof/>
                <w:webHidden/>
              </w:rPr>
              <w:fldChar w:fldCharType="begin"/>
            </w:r>
            <w:r>
              <w:rPr>
                <w:noProof/>
                <w:webHidden/>
              </w:rPr>
              <w:instrText xml:space="preserve"> PAGEREF _Toc198818591 \h </w:instrText>
            </w:r>
            <w:r>
              <w:rPr>
                <w:noProof/>
                <w:webHidden/>
              </w:rPr>
            </w:r>
            <w:r>
              <w:rPr>
                <w:noProof/>
                <w:webHidden/>
              </w:rPr>
              <w:fldChar w:fldCharType="separate"/>
            </w:r>
            <w:r w:rsidR="00F033CC">
              <w:rPr>
                <w:noProof/>
                <w:webHidden/>
              </w:rPr>
              <w:t>9</w:t>
            </w:r>
            <w:r>
              <w:rPr>
                <w:noProof/>
                <w:webHidden/>
              </w:rPr>
              <w:fldChar w:fldCharType="end"/>
            </w:r>
          </w:hyperlink>
        </w:p>
        <w:p w14:paraId="7B0FF5D8" w14:textId="0400D178"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92" w:history="1">
            <w:r w:rsidRPr="003246BD">
              <w:rPr>
                <w:rStyle w:val="Hyperlink"/>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Which costs is the SFI Retention applicable to?</w:t>
            </w:r>
            <w:r>
              <w:rPr>
                <w:noProof/>
                <w:webHidden/>
              </w:rPr>
              <w:tab/>
            </w:r>
            <w:r>
              <w:rPr>
                <w:noProof/>
                <w:webHidden/>
              </w:rPr>
              <w:fldChar w:fldCharType="begin"/>
            </w:r>
            <w:r>
              <w:rPr>
                <w:noProof/>
                <w:webHidden/>
              </w:rPr>
              <w:instrText xml:space="preserve"> PAGEREF _Toc198818592 \h </w:instrText>
            </w:r>
            <w:r>
              <w:rPr>
                <w:noProof/>
                <w:webHidden/>
              </w:rPr>
            </w:r>
            <w:r>
              <w:rPr>
                <w:noProof/>
                <w:webHidden/>
              </w:rPr>
              <w:fldChar w:fldCharType="separate"/>
            </w:r>
            <w:r w:rsidR="00F033CC">
              <w:rPr>
                <w:noProof/>
                <w:webHidden/>
              </w:rPr>
              <w:t>9</w:t>
            </w:r>
            <w:r>
              <w:rPr>
                <w:noProof/>
                <w:webHidden/>
              </w:rPr>
              <w:fldChar w:fldCharType="end"/>
            </w:r>
          </w:hyperlink>
        </w:p>
        <w:p w14:paraId="2E576884" w14:textId="329B9F24"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93" w:history="1">
            <w:r w:rsidRPr="003246BD">
              <w:rPr>
                <w:rStyle w:val="Hyperlink"/>
                <w:rFonts w:eastAsia="Arial"/>
                <w:noProof/>
                <w:lang w:eastAsia="en-GB"/>
                <w14:scene3d>
                  <w14:camera w14:prst="orthographicFront"/>
                  <w14:lightRig w14:rig="threePt" w14:dir="t">
                    <w14:rot w14:lat="0" w14:lon="0" w14:rev="0"/>
                  </w14:lightRig>
                </w14:scene3d>
              </w:rPr>
              <w:t>3.3</w:t>
            </w:r>
            <w:r>
              <w:rPr>
                <w:rFonts w:asciiTheme="minorHAnsi" w:eastAsiaTheme="minorEastAsia" w:hAnsiTheme="minorHAnsi" w:cstheme="minorBidi"/>
                <w:noProof/>
                <w:kern w:val="2"/>
                <w:sz w:val="24"/>
                <w:lang w:eastAsia="en-GB"/>
                <w14:ligatures w14:val="standardContextual"/>
              </w:rPr>
              <w:tab/>
            </w:r>
            <w:r w:rsidRPr="003246BD">
              <w:rPr>
                <w:rStyle w:val="Hyperlink"/>
                <w:rFonts w:eastAsia="Arial"/>
                <w:noProof/>
                <w:lang w:eastAsia="en-GB"/>
              </w:rPr>
              <w:t>Application of SFI Retention to Task Order 0</w:t>
            </w:r>
            <w:r>
              <w:rPr>
                <w:noProof/>
                <w:webHidden/>
              </w:rPr>
              <w:tab/>
            </w:r>
            <w:r>
              <w:rPr>
                <w:noProof/>
                <w:webHidden/>
              </w:rPr>
              <w:fldChar w:fldCharType="begin"/>
            </w:r>
            <w:r>
              <w:rPr>
                <w:noProof/>
                <w:webHidden/>
              </w:rPr>
              <w:instrText xml:space="preserve"> PAGEREF _Toc198818593 \h </w:instrText>
            </w:r>
            <w:r>
              <w:rPr>
                <w:noProof/>
                <w:webHidden/>
              </w:rPr>
            </w:r>
            <w:r>
              <w:rPr>
                <w:noProof/>
                <w:webHidden/>
              </w:rPr>
              <w:fldChar w:fldCharType="separate"/>
            </w:r>
            <w:r w:rsidR="00F033CC">
              <w:rPr>
                <w:noProof/>
                <w:webHidden/>
              </w:rPr>
              <w:t>9</w:t>
            </w:r>
            <w:r>
              <w:rPr>
                <w:noProof/>
                <w:webHidden/>
              </w:rPr>
              <w:fldChar w:fldCharType="end"/>
            </w:r>
          </w:hyperlink>
        </w:p>
        <w:p w14:paraId="6A514BF8" w14:textId="667DB2B7" w:rsidR="00B156B4" w:rsidRDefault="00B156B4">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8818594" w:history="1">
            <w:r w:rsidRPr="003246BD">
              <w:rPr>
                <w:rStyle w:val="Hyperlink"/>
                <w:rFonts w:eastAsia="Arial"/>
                <w:iCs/>
                <w:noProof/>
                <w:lang w:eastAsia="en-GB"/>
              </w:rPr>
              <w:t>4</w:t>
            </w:r>
            <w:r>
              <w:rPr>
                <w:rFonts w:asciiTheme="minorHAnsi" w:eastAsiaTheme="minorEastAsia" w:hAnsiTheme="minorHAnsi" w:cstheme="minorBidi"/>
                <w:noProof/>
                <w:kern w:val="2"/>
                <w:sz w:val="24"/>
                <w:lang w:eastAsia="en-GB"/>
                <w14:ligatures w14:val="standardContextual"/>
              </w:rPr>
              <w:tab/>
            </w:r>
            <w:r w:rsidRPr="003246BD">
              <w:rPr>
                <w:rStyle w:val="Hyperlink"/>
                <w:rFonts w:eastAsia="Arial"/>
                <w:noProof/>
                <w:lang w:eastAsia="en-GB"/>
              </w:rPr>
              <w:t>Management of performance</w:t>
            </w:r>
            <w:r>
              <w:rPr>
                <w:noProof/>
                <w:webHidden/>
              </w:rPr>
              <w:tab/>
            </w:r>
            <w:r>
              <w:rPr>
                <w:noProof/>
                <w:webHidden/>
              </w:rPr>
              <w:fldChar w:fldCharType="begin"/>
            </w:r>
            <w:r>
              <w:rPr>
                <w:noProof/>
                <w:webHidden/>
              </w:rPr>
              <w:instrText xml:space="preserve"> PAGEREF _Toc198818594 \h </w:instrText>
            </w:r>
            <w:r>
              <w:rPr>
                <w:noProof/>
                <w:webHidden/>
              </w:rPr>
            </w:r>
            <w:r>
              <w:rPr>
                <w:noProof/>
                <w:webHidden/>
              </w:rPr>
              <w:fldChar w:fldCharType="separate"/>
            </w:r>
            <w:r w:rsidR="00F033CC">
              <w:rPr>
                <w:noProof/>
                <w:webHidden/>
              </w:rPr>
              <w:t>10</w:t>
            </w:r>
            <w:r>
              <w:rPr>
                <w:noProof/>
                <w:webHidden/>
              </w:rPr>
              <w:fldChar w:fldCharType="end"/>
            </w:r>
          </w:hyperlink>
        </w:p>
        <w:p w14:paraId="4BDC55E4" w14:textId="09302953"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95" w:history="1">
            <w:r w:rsidRPr="003246BD">
              <w:rPr>
                <w:rStyle w:val="Hyperlink"/>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sz w:val="24"/>
                <w:lang w:eastAsia="en-GB"/>
                <w14:ligatures w14:val="standardContextual"/>
              </w:rPr>
              <w:tab/>
            </w:r>
            <w:r w:rsidRPr="003246BD">
              <w:rPr>
                <w:rStyle w:val="Hyperlink"/>
                <w:noProof/>
              </w:rPr>
              <w:t>Determining SFI performance</w:t>
            </w:r>
            <w:r>
              <w:rPr>
                <w:noProof/>
                <w:webHidden/>
              </w:rPr>
              <w:tab/>
            </w:r>
            <w:r>
              <w:rPr>
                <w:noProof/>
                <w:webHidden/>
              </w:rPr>
              <w:fldChar w:fldCharType="begin"/>
            </w:r>
            <w:r>
              <w:rPr>
                <w:noProof/>
                <w:webHidden/>
              </w:rPr>
              <w:instrText xml:space="preserve"> PAGEREF _Toc198818595 \h </w:instrText>
            </w:r>
            <w:r>
              <w:rPr>
                <w:noProof/>
                <w:webHidden/>
              </w:rPr>
            </w:r>
            <w:r>
              <w:rPr>
                <w:noProof/>
                <w:webHidden/>
              </w:rPr>
              <w:fldChar w:fldCharType="separate"/>
            </w:r>
            <w:r w:rsidR="00F033CC">
              <w:rPr>
                <w:noProof/>
                <w:webHidden/>
              </w:rPr>
              <w:t>10</w:t>
            </w:r>
            <w:r>
              <w:rPr>
                <w:noProof/>
                <w:webHidden/>
              </w:rPr>
              <w:fldChar w:fldCharType="end"/>
            </w:r>
          </w:hyperlink>
        </w:p>
        <w:p w14:paraId="5ED7DBC6" w14:textId="0871727A"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596" w:history="1">
            <w:r w:rsidRPr="003246BD">
              <w:rPr>
                <w:rStyle w:val="Hyperlink"/>
                <w:noProof/>
              </w:rPr>
              <w:t>4.1.1</w:t>
            </w:r>
            <w:r>
              <w:rPr>
                <w:rFonts w:asciiTheme="minorHAnsi" w:eastAsiaTheme="minorEastAsia" w:hAnsiTheme="minorHAnsi" w:cstheme="minorBidi"/>
                <w:noProof/>
                <w:kern w:val="2"/>
                <w:sz w:val="24"/>
                <w:lang w:eastAsia="en-GB"/>
                <w14:ligatures w14:val="standardContextual"/>
              </w:rPr>
              <w:tab/>
            </w:r>
            <w:r w:rsidRPr="003246BD">
              <w:rPr>
                <w:rStyle w:val="Hyperlink"/>
                <w:noProof/>
              </w:rPr>
              <w:t>How will the SFI reporting operate?</w:t>
            </w:r>
            <w:r>
              <w:rPr>
                <w:noProof/>
                <w:webHidden/>
              </w:rPr>
              <w:tab/>
            </w:r>
            <w:r>
              <w:rPr>
                <w:noProof/>
                <w:webHidden/>
              </w:rPr>
              <w:fldChar w:fldCharType="begin"/>
            </w:r>
            <w:r>
              <w:rPr>
                <w:noProof/>
                <w:webHidden/>
              </w:rPr>
              <w:instrText xml:space="preserve"> PAGEREF _Toc198818596 \h </w:instrText>
            </w:r>
            <w:r>
              <w:rPr>
                <w:noProof/>
                <w:webHidden/>
              </w:rPr>
            </w:r>
            <w:r>
              <w:rPr>
                <w:noProof/>
                <w:webHidden/>
              </w:rPr>
              <w:fldChar w:fldCharType="separate"/>
            </w:r>
            <w:r w:rsidR="00F033CC">
              <w:rPr>
                <w:noProof/>
                <w:webHidden/>
              </w:rPr>
              <w:t>10</w:t>
            </w:r>
            <w:r>
              <w:rPr>
                <w:noProof/>
                <w:webHidden/>
              </w:rPr>
              <w:fldChar w:fldCharType="end"/>
            </w:r>
          </w:hyperlink>
        </w:p>
        <w:p w14:paraId="1A1733DE" w14:textId="7FF9489F"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597" w:history="1">
            <w:r w:rsidRPr="003246BD">
              <w:rPr>
                <w:rStyle w:val="Hyperlink"/>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sz w:val="24"/>
                <w:lang w:eastAsia="en-GB"/>
                <w14:ligatures w14:val="standardContextual"/>
              </w:rPr>
              <w:tab/>
            </w:r>
            <w:r w:rsidRPr="003246BD">
              <w:rPr>
                <w:rStyle w:val="Hyperlink"/>
                <w:noProof/>
              </w:rPr>
              <w:t>The Performance SFI KPI</w:t>
            </w:r>
            <w:r>
              <w:rPr>
                <w:noProof/>
                <w:webHidden/>
              </w:rPr>
              <w:tab/>
            </w:r>
            <w:r>
              <w:rPr>
                <w:noProof/>
                <w:webHidden/>
              </w:rPr>
              <w:fldChar w:fldCharType="begin"/>
            </w:r>
            <w:r>
              <w:rPr>
                <w:noProof/>
                <w:webHidden/>
              </w:rPr>
              <w:instrText xml:space="preserve"> PAGEREF _Toc198818597 \h </w:instrText>
            </w:r>
            <w:r>
              <w:rPr>
                <w:noProof/>
                <w:webHidden/>
              </w:rPr>
            </w:r>
            <w:r>
              <w:rPr>
                <w:noProof/>
                <w:webHidden/>
              </w:rPr>
              <w:fldChar w:fldCharType="separate"/>
            </w:r>
            <w:r w:rsidR="00F033CC">
              <w:rPr>
                <w:noProof/>
                <w:webHidden/>
              </w:rPr>
              <w:t>10</w:t>
            </w:r>
            <w:r>
              <w:rPr>
                <w:noProof/>
                <w:webHidden/>
              </w:rPr>
              <w:fldChar w:fldCharType="end"/>
            </w:r>
          </w:hyperlink>
        </w:p>
        <w:p w14:paraId="072D8592" w14:textId="2B2522A6"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598" w:history="1">
            <w:r w:rsidRPr="003246BD">
              <w:rPr>
                <w:rStyle w:val="Hyperlink"/>
                <w:noProof/>
              </w:rPr>
              <w:t>4.2.1</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What are Task Level Indicators (TLIs)?</w:t>
            </w:r>
            <w:r>
              <w:rPr>
                <w:noProof/>
                <w:webHidden/>
              </w:rPr>
              <w:tab/>
            </w:r>
            <w:r>
              <w:rPr>
                <w:noProof/>
                <w:webHidden/>
              </w:rPr>
              <w:fldChar w:fldCharType="begin"/>
            </w:r>
            <w:r>
              <w:rPr>
                <w:noProof/>
                <w:webHidden/>
              </w:rPr>
              <w:instrText xml:space="preserve"> PAGEREF _Toc198818598 \h </w:instrText>
            </w:r>
            <w:r>
              <w:rPr>
                <w:noProof/>
                <w:webHidden/>
              </w:rPr>
            </w:r>
            <w:r>
              <w:rPr>
                <w:noProof/>
                <w:webHidden/>
              </w:rPr>
              <w:fldChar w:fldCharType="separate"/>
            </w:r>
            <w:r w:rsidR="00F033CC">
              <w:rPr>
                <w:noProof/>
                <w:webHidden/>
              </w:rPr>
              <w:t>10</w:t>
            </w:r>
            <w:r>
              <w:rPr>
                <w:noProof/>
                <w:webHidden/>
              </w:rPr>
              <w:fldChar w:fldCharType="end"/>
            </w:r>
          </w:hyperlink>
        </w:p>
        <w:p w14:paraId="7869F52C" w14:textId="384E9081"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599" w:history="1">
            <w:r w:rsidRPr="003246BD">
              <w:rPr>
                <w:rStyle w:val="Hyperlink"/>
                <w:noProof/>
              </w:rPr>
              <w:t>4.2.2</w:t>
            </w:r>
            <w:r>
              <w:rPr>
                <w:rFonts w:asciiTheme="minorHAnsi" w:eastAsiaTheme="minorEastAsia" w:hAnsiTheme="minorHAnsi" w:cstheme="minorBidi"/>
                <w:noProof/>
                <w:kern w:val="2"/>
                <w:sz w:val="24"/>
                <w:lang w:eastAsia="en-GB"/>
                <w14:ligatures w14:val="standardContextual"/>
              </w:rPr>
              <w:tab/>
            </w:r>
            <w:r w:rsidRPr="003246BD">
              <w:rPr>
                <w:rStyle w:val="Hyperlink"/>
                <w:noProof/>
              </w:rPr>
              <w:t>How will the Performance (SFI) KPI be scored?</w:t>
            </w:r>
            <w:r>
              <w:rPr>
                <w:noProof/>
                <w:webHidden/>
              </w:rPr>
              <w:tab/>
            </w:r>
            <w:r>
              <w:rPr>
                <w:noProof/>
                <w:webHidden/>
              </w:rPr>
              <w:fldChar w:fldCharType="begin"/>
            </w:r>
            <w:r>
              <w:rPr>
                <w:noProof/>
                <w:webHidden/>
              </w:rPr>
              <w:instrText xml:space="preserve"> PAGEREF _Toc198818599 \h </w:instrText>
            </w:r>
            <w:r>
              <w:rPr>
                <w:noProof/>
                <w:webHidden/>
              </w:rPr>
            </w:r>
            <w:r>
              <w:rPr>
                <w:noProof/>
                <w:webHidden/>
              </w:rPr>
              <w:fldChar w:fldCharType="separate"/>
            </w:r>
            <w:r w:rsidR="00F033CC">
              <w:rPr>
                <w:noProof/>
                <w:webHidden/>
              </w:rPr>
              <w:t>10</w:t>
            </w:r>
            <w:r>
              <w:rPr>
                <w:noProof/>
                <w:webHidden/>
              </w:rPr>
              <w:fldChar w:fldCharType="end"/>
            </w:r>
          </w:hyperlink>
        </w:p>
        <w:p w14:paraId="13EF8F99" w14:textId="615B4031"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00" w:history="1">
            <w:r w:rsidRPr="003246BD">
              <w:rPr>
                <w:rStyle w:val="Hyperlink"/>
                <w:noProof/>
              </w:rPr>
              <w:t>4.2.3</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Which rules will apply to the Performance (SFI) KPI calculation?</w:t>
            </w:r>
            <w:r>
              <w:rPr>
                <w:noProof/>
                <w:webHidden/>
              </w:rPr>
              <w:tab/>
            </w:r>
            <w:r>
              <w:rPr>
                <w:noProof/>
                <w:webHidden/>
              </w:rPr>
              <w:fldChar w:fldCharType="begin"/>
            </w:r>
            <w:r>
              <w:rPr>
                <w:noProof/>
                <w:webHidden/>
              </w:rPr>
              <w:instrText xml:space="preserve"> PAGEREF _Toc198818600 \h </w:instrText>
            </w:r>
            <w:r>
              <w:rPr>
                <w:noProof/>
                <w:webHidden/>
              </w:rPr>
            </w:r>
            <w:r>
              <w:rPr>
                <w:noProof/>
                <w:webHidden/>
              </w:rPr>
              <w:fldChar w:fldCharType="separate"/>
            </w:r>
            <w:r w:rsidR="00F033CC">
              <w:rPr>
                <w:noProof/>
                <w:webHidden/>
              </w:rPr>
              <w:t>11</w:t>
            </w:r>
            <w:r>
              <w:rPr>
                <w:noProof/>
                <w:webHidden/>
              </w:rPr>
              <w:fldChar w:fldCharType="end"/>
            </w:r>
          </w:hyperlink>
        </w:p>
        <w:p w14:paraId="6864A8BC" w14:textId="02D9AD65"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01" w:history="1">
            <w:r w:rsidRPr="003246BD">
              <w:rPr>
                <w:rStyle w:val="Hyperlink"/>
                <w:rFonts w:eastAsia="Arial"/>
                <w:noProof/>
                <w:lang w:eastAsia="en-GB"/>
                <w14:scene3d>
                  <w14:camera w14:prst="orthographicFront"/>
                  <w14:lightRig w14:rig="threePt" w14:dir="t">
                    <w14:rot w14:lat="0" w14:lon="0" w14:rev="0"/>
                  </w14:lightRig>
                </w14:scene3d>
              </w:rPr>
              <w:t>4.3</w:t>
            </w:r>
            <w:r>
              <w:rPr>
                <w:rFonts w:asciiTheme="minorHAnsi" w:eastAsiaTheme="minorEastAsia" w:hAnsiTheme="minorHAnsi" w:cstheme="minorBidi"/>
                <w:noProof/>
                <w:kern w:val="2"/>
                <w:sz w:val="24"/>
                <w:lang w:eastAsia="en-GB"/>
                <w14:ligatures w14:val="standardContextual"/>
              </w:rPr>
              <w:tab/>
            </w:r>
            <w:r w:rsidRPr="003246BD">
              <w:rPr>
                <w:rStyle w:val="Hyperlink"/>
                <w:rFonts w:eastAsia="Arial"/>
                <w:noProof/>
                <w:lang w:eastAsia="en-GB"/>
              </w:rPr>
              <w:t>Actions on Receiving a Red RAG Rating</w:t>
            </w:r>
            <w:r>
              <w:rPr>
                <w:noProof/>
                <w:webHidden/>
              </w:rPr>
              <w:tab/>
            </w:r>
            <w:r>
              <w:rPr>
                <w:noProof/>
                <w:webHidden/>
              </w:rPr>
              <w:fldChar w:fldCharType="begin"/>
            </w:r>
            <w:r>
              <w:rPr>
                <w:noProof/>
                <w:webHidden/>
              </w:rPr>
              <w:instrText xml:space="preserve"> PAGEREF _Toc198818601 \h </w:instrText>
            </w:r>
            <w:r>
              <w:rPr>
                <w:noProof/>
                <w:webHidden/>
              </w:rPr>
            </w:r>
            <w:r>
              <w:rPr>
                <w:noProof/>
                <w:webHidden/>
              </w:rPr>
              <w:fldChar w:fldCharType="separate"/>
            </w:r>
            <w:r w:rsidR="00F033CC">
              <w:rPr>
                <w:noProof/>
                <w:webHidden/>
              </w:rPr>
              <w:t>12</w:t>
            </w:r>
            <w:r>
              <w:rPr>
                <w:noProof/>
                <w:webHidden/>
              </w:rPr>
              <w:fldChar w:fldCharType="end"/>
            </w:r>
          </w:hyperlink>
        </w:p>
        <w:p w14:paraId="78AA316D" w14:textId="1CBADD99"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02" w:history="1">
            <w:r w:rsidRPr="003246BD">
              <w:rPr>
                <w:rStyle w:val="Hyperlink"/>
                <w:rFonts w:eastAsia="Arial"/>
                <w:noProof/>
                <w:lang w:eastAsia="en-GB"/>
                <w14:scene3d>
                  <w14:camera w14:prst="orthographicFront"/>
                  <w14:lightRig w14:rig="threePt" w14:dir="t">
                    <w14:rot w14:lat="0" w14:lon="0" w14:rev="0"/>
                  </w14:lightRig>
                </w14:scene3d>
              </w:rPr>
              <w:t>4.4</w:t>
            </w:r>
            <w:r>
              <w:rPr>
                <w:rFonts w:asciiTheme="minorHAnsi" w:eastAsiaTheme="minorEastAsia" w:hAnsiTheme="minorHAnsi" w:cstheme="minorBidi"/>
                <w:noProof/>
                <w:kern w:val="2"/>
                <w:sz w:val="24"/>
                <w:lang w:eastAsia="en-GB"/>
                <w14:ligatures w14:val="standardContextual"/>
              </w:rPr>
              <w:tab/>
            </w:r>
            <w:r w:rsidRPr="003246BD">
              <w:rPr>
                <w:rStyle w:val="Hyperlink"/>
                <w:rFonts w:eastAsia="Arial"/>
                <w:noProof/>
                <w:lang w:eastAsia="en-GB"/>
              </w:rPr>
              <w:t>Resetting a Red Rating</w:t>
            </w:r>
            <w:r>
              <w:rPr>
                <w:noProof/>
                <w:webHidden/>
              </w:rPr>
              <w:tab/>
            </w:r>
            <w:r>
              <w:rPr>
                <w:noProof/>
                <w:webHidden/>
              </w:rPr>
              <w:fldChar w:fldCharType="begin"/>
            </w:r>
            <w:r>
              <w:rPr>
                <w:noProof/>
                <w:webHidden/>
              </w:rPr>
              <w:instrText xml:space="preserve"> PAGEREF _Toc198818602 \h </w:instrText>
            </w:r>
            <w:r>
              <w:rPr>
                <w:noProof/>
                <w:webHidden/>
              </w:rPr>
            </w:r>
            <w:r>
              <w:rPr>
                <w:noProof/>
                <w:webHidden/>
              </w:rPr>
              <w:fldChar w:fldCharType="separate"/>
            </w:r>
            <w:r w:rsidR="00F033CC">
              <w:rPr>
                <w:noProof/>
                <w:webHidden/>
              </w:rPr>
              <w:t>12</w:t>
            </w:r>
            <w:r>
              <w:rPr>
                <w:noProof/>
                <w:webHidden/>
              </w:rPr>
              <w:fldChar w:fldCharType="end"/>
            </w:r>
          </w:hyperlink>
        </w:p>
        <w:p w14:paraId="3437097A" w14:textId="282E8E78"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03" w:history="1">
            <w:r w:rsidRPr="003246BD">
              <w:rPr>
                <w:rStyle w:val="Hyperlink"/>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sz w:val="24"/>
                <w:lang w:eastAsia="en-GB"/>
                <w14:ligatures w14:val="standardContextual"/>
              </w:rPr>
              <w:tab/>
            </w:r>
            <w:r w:rsidRPr="003246BD">
              <w:rPr>
                <w:rStyle w:val="Hyperlink"/>
                <w:noProof/>
              </w:rPr>
              <w:t>Social Value &amp; Sustainability KPI</w:t>
            </w:r>
            <w:r>
              <w:rPr>
                <w:noProof/>
                <w:webHidden/>
              </w:rPr>
              <w:tab/>
            </w:r>
            <w:r>
              <w:rPr>
                <w:noProof/>
                <w:webHidden/>
              </w:rPr>
              <w:fldChar w:fldCharType="begin"/>
            </w:r>
            <w:r>
              <w:rPr>
                <w:noProof/>
                <w:webHidden/>
              </w:rPr>
              <w:instrText xml:space="preserve"> PAGEREF _Toc198818603 \h </w:instrText>
            </w:r>
            <w:r>
              <w:rPr>
                <w:noProof/>
                <w:webHidden/>
              </w:rPr>
            </w:r>
            <w:r>
              <w:rPr>
                <w:noProof/>
                <w:webHidden/>
              </w:rPr>
              <w:fldChar w:fldCharType="separate"/>
            </w:r>
            <w:r w:rsidR="00F033CC">
              <w:rPr>
                <w:noProof/>
                <w:webHidden/>
              </w:rPr>
              <w:t>12</w:t>
            </w:r>
            <w:r>
              <w:rPr>
                <w:noProof/>
                <w:webHidden/>
              </w:rPr>
              <w:fldChar w:fldCharType="end"/>
            </w:r>
          </w:hyperlink>
        </w:p>
        <w:p w14:paraId="3E734FEF" w14:textId="6144CD31"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04" w:history="1">
            <w:r w:rsidRPr="003246BD">
              <w:rPr>
                <w:rStyle w:val="Hyperlink"/>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sz w:val="24"/>
                <w:lang w:eastAsia="en-GB"/>
                <w14:ligatures w14:val="standardContextual"/>
              </w:rPr>
              <w:tab/>
            </w:r>
            <w:r w:rsidRPr="003246BD">
              <w:rPr>
                <w:rStyle w:val="Hyperlink"/>
                <w:noProof/>
              </w:rPr>
              <w:t>Milestones</w:t>
            </w:r>
            <w:r>
              <w:rPr>
                <w:noProof/>
                <w:webHidden/>
              </w:rPr>
              <w:tab/>
            </w:r>
            <w:r>
              <w:rPr>
                <w:noProof/>
                <w:webHidden/>
              </w:rPr>
              <w:fldChar w:fldCharType="begin"/>
            </w:r>
            <w:r>
              <w:rPr>
                <w:noProof/>
                <w:webHidden/>
              </w:rPr>
              <w:instrText xml:space="preserve"> PAGEREF _Toc198818604 \h </w:instrText>
            </w:r>
            <w:r>
              <w:rPr>
                <w:noProof/>
                <w:webHidden/>
              </w:rPr>
            </w:r>
            <w:r>
              <w:rPr>
                <w:noProof/>
                <w:webHidden/>
              </w:rPr>
              <w:fldChar w:fldCharType="separate"/>
            </w:r>
            <w:r w:rsidR="00F033CC">
              <w:rPr>
                <w:noProof/>
                <w:webHidden/>
              </w:rPr>
              <w:t>12</w:t>
            </w:r>
            <w:r>
              <w:rPr>
                <w:noProof/>
                <w:webHidden/>
              </w:rPr>
              <w:fldChar w:fldCharType="end"/>
            </w:r>
          </w:hyperlink>
        </w:p>
        <w:p w14:paraId="68CE49A8" w14:textId="10021187"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05" w:history="1">
            <w:r w:rsidRPr="003246BD">
              <w:rPr>
                <w:rStyle w:val="Hyperlink"/>
                <w:noProof/>
              </w:rPr>
              <w:t>4.6.1</w:t>
            </w:r>
            <w:r>
              <w:rPr>
                <w:rFonts w:asciiTheme="minorHAnsi" w:eastAsiaTheme="minorEastAsia" w:hAnsiTheme="minorHAnsi" w:cstheme="minorBidi"/>
                <w:noProof/>
                <w:kern w:val="2"/>
                <w:sz w:val="24"/>
                <w:lang w:eastAsia="en-GB"/>
                <w14:ligatures w14:val="standardContextual"/>
              </w:rPr>
              <w:tab/>
            </w:r>
            <w:r w:rsidRPr="003246BD">
              <w:rPr>
                <w:rStyle w:val="Hyperlink"/>
                <w:noProof/>
              </w:rPr>
              <w:t>How will the Milestones be measured?</w:t>
            </w:r>
            <w:r>
              <w:rPr>
                <w:noProof/>
                <w:webHidden/>
              </w:rPr>
              <w:tab/>
            </w:r>
            <w:r>
              <w:rPr>
                <w:noProof/>
                <w:webHidden/>
              </w:rPr>
              <w:fldChar w:fldCharType="begin"/>
            </w:r>
            <w:r>
              <w:rPr>
                <w:noProof/>
                <w:webHidden/>
              </w:rPr>
              <w:instrText xml:space="preserve"> PAGEREF _Toc198818605 \h </w:instrText>
            </w:r>
            <w:r>
              <w:rPr>
                <w:noProof/>
                <w:webHidden/>
              </w:rPr>
            </w:r>
            <w:r>
              <w:rPr>
                <w:noProof/>
                <w:webHidden/>
              </w:rPr>
              <w:fldChar w:fldCharType="separate"/>
            </w:r>
            <w:r w:rsidR="00F033CC">
              <w:rPr>
                <w:noProof/>
                <w:webHidden/>
              </w:rPr>
              <w:t>12</w:t>
            </w:r>
            <w:r>
              <w:rPr>
                <w:noProof/>
                <w:webHidden/>
              </w:rPr>
              <w:fldChar w:fldCharType="end"/>
            </w:r>
          </w:hyperlink>
        </w:p>
        <w:p w14:paraId="4CEC96F6" w14:textId="204152DF"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06" w:history="1">
            <w:r w:rsidRPr="003246BD">
              <w:rPr>
                <w:rStyle w:val="Hyperlink"/>
                <w:noProof/>
              </w:rPr>
              <w:t>4.6.2</w:t>
            </w:r>
            <w:r>
              <w:rPr>
                <w:rFonts w:asciiTheme="minorHAnsi" w:eastAsiaTheme="minorEastAsia" w:hAnsiTheme="minorHAnsi" w:cstheme="minorBidi"/>
                <w:noProof/>
                <w:kern w:val="2"/>
                <w:sz w:val="24"/>
                <w:lang w:eastAsia="en-GB"/>
                <w14:ligatures w14:val="standardContextual"/>
              </w:rPr>
              <w:tab/>
            </w:r>
            <w:r w:rsidRPr="003246BD">
              <w:rPr>
                <w:rStyle w:val="Hyperlink"/>
                <w:noProof/>
              </w:rPr>
              <w:t>How will the SFI Retention pot be determined for each milestone?</w:t>
            </w:r>
            <w:r>
              <w:rPr>
                <w:noProof/>
                <w:webHidden/>
              </w:rPr>
              <w:tab/>
            </w:r>
            <w:r>
              <w:rPr>
                <w:noProof/>
                <w:webHidden/>
              </w:rPr>
              <w:fldChar w:fldCharType="begin"/>
            </w:r>
            <w:r>
              <w:rPr>
                <w:noProof/>
                <w:webHidden/>
              </w:rPr>
              <w:instrText xml:space="preserve"> PAGEREF _Toc198818606 \h </w:instrText>
            </w:r>
            <w:r>
              <w:rPr>
                <w:noProof/>
                <w:webHidden/>
              </w:rPr>
            </w:r>
            <w:r>
              <w:rPr>
                <w:noProof/>
                <w:webHidden/>
              </w:rPr>
              <w:fldChar w:fldCharType="separate"/>
            </w:r>
            <w:r w:rsidR="00F033CC">
              <w:rPr>
                <w:noProof/>
                <w:webHidden/>
              </w:rPr>
              <w:t>12</w:t>
            </w:r>
            <w:r>
              <w:rPr>
                <w:noProof/>
                <w:webHidden/>
              </w:rPr>
              <w:fldChar w:fldCharType="end"/>
            </w:r>
          </w:hyperlink>
        </w:p>
        <w:p w14:paraId="2B68288B" w14:textId="0F5E471E"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07" w:history="1">
            <w:r w:rsidRPr="003246BD">
              <w:rPr>
                <w:rStyle w:val="Hyperlink"/>
                <w:noProof/>
              </w:rPr>
              <w:t>4.6.3</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What impact will the delivery date have on the SFI Retention amount released?</w:t>
            </w:r>
            <w:r>
              <w:rPr>
                <w:noProof/>
                <w:webHidden/>
              </w:rPr>
              <w:tab/>
            </w:r>
            <w:r>
              <w:rPr>
                <w:noProof/>
                <w:webHidden/>
              </w:rPr>
              <w:fldChar w:fldCharType="begin"/>
            </w:r>
            <w:r>
              <w:rPr>
                <w:noProof/>
                <w:webHidden/>
              </w:rPr>
              <w:instrText xml:space="preserve"> PAGEREF _Toc198818607 \h </w:instrText>
            </w:r>
            <w:r>
              <w:rPr>
                <w:noProof/>
                <w:webHidden/>
              </w:rPr>
            </w:r>
            <w:r>
              <w:rPr>
                <w:noProof/>
                <w:webHidden/>
              </w:rPr>
              <w:fldChar w:fldCharType="separate"/>
            </w:r>
            <w:r w:rsidR="00F033CC">
              <w:rPr>
                <w:noProof/>
                <w:webHidden/>
              </w:rPr>
              <w:t>13</w:t>
            </w:r>
            <w:r>
              <w:rPr>
                <w:noProof/>
                <w:webHidden/>
              </w:rPr>
              <w:fldChar w:fldCharType="end"/>
            </w:r>
          </w:hyperlink>
        </w:p>
        <w:p w14:paraId="55E839C8" w14:textId="247043F1"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08" w:history="1">
            <w:r w:rsidRPr="003246BD">
              <w:rPr>
                <w:rStyle w:val="Hyperlink"/>
                <w:noProof/>
                <w14:scene3d>
                  <w14:camera w14:prst="orthographicFront"/>
                  <w14:lightRig w14:rig="threePt" w14:dir="t">
                    <w14:rot w14:lat="0" w14:lon="0" w14:rev="0"/>
                  </w14:lightRig>
                </w14:scene3d>
              </w:rPr>
              <w:t>4.7</w:t>
            </w:r>
            <w:r>
              <w:rPr>
                <w:rFonts w:asciiTheme="minorHAnsi" w:eastAsiaTheme="minorEastAsia" w:hAnsiTheme="minorHAnsi" w:cstheme="minorBidi"/>
                <w:noProof/>
                <w:kern w:val="2"/>
                <w:sz w:val="24"/>
                <w:lang w:eastAsia="en-GB"/>
                <w14:ligatures w14:val="standardContextual"/>
              </w:rPr>
              <w:tab/>
            </w:r>
            <w:r w:rsidRPr="003246BD">
              <w:rPr>
                <w:rStyle w:val="Hyperlink"/>
                <w:noProof/>
              </w:rPr>
              <w:t>Preventing sustained poor performance</w:t>
            </w:r>
            <w:r>
              <w:rPr>
                <w:noProof/>
                <w:webHidden/>
              </w:rPr>
              <w:tab/>
            </w:r>
            <w:r>
              <w:rPr>
                <w:noProof/>
                <w:webHidden/>
              </w:rPr>
              <w:fldChar w:fldCharType="begin"/>
            </w:r>
            <w:r>
              <w:rPr>
                <w:noProof/>
                <w:webHidden/>
              </w:rPr>
              <w:instrText xml:space="preserve"> PAGEREF _Toc198818608 \h </w:instrText>
            </w:r>
            <w:r>
              <w:rPr>
                <w:noProof/>
                <w:webHidden/>
              </w:rPr>
            </w:r>
            <w:r>
              <w:rPr>
                <w:noProof/>
                <w:webHidden/>
              </w:rPr>
              <w:fldChar w:fldCharType="separate"/>
            </w:r>
            <w:r w:rsidR="00F033CC">
              <w:rPr>
                <w:noProof/>
                <w:webHidden/>
              </w:rPr>
              <w:t>13</w:t>
            </w:r>
            <w:r>
              <w:rPr>
                <w:noProof/>
                <w:webHidden/>
              </w:rPr>
              <w:fldChar w:fldCharType="end"/>
            </w:r>
          </w:hyperlink>
        </w:p>
        <w:p w14:paraId="48FD8CF7" w14:textId="398D36A0" w:rsidR="00B156B4" w:rsidRDefault="00B156B4">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8818609" w:history="1">
            <w:r w:rsidRPr="003246BD">
              <w:rPr>
                <w:rStyle w:val="Hyperlink"/>
                <w:iCs/>
                <w:noProof/>
              </w:rPr>
              <w:t>5</w:t>
            </w:r>
            <w:r>
              <w:rPr>
                <w:rFonts w:asciiTheme="minorHAnsi" w:eastAsiaTheme="minorEastAsia" w:hAnsiTheme="minorHAnsi" w:cstheme="minorBidi"/>
                <w:noProof/>
                <w:kern w:val="2"/>
                <w:sz w:val="24"/>
                <w:lang w:eastAsia="en-GB"/>
                <w14:ligatures w14:val="standardContextual"/>
              </w:rPr>
              <w:tab/>
            </w:r>
            <w:r w:rsidRPr="003246BD">
              <w:rPr>
                <w:rStyle w:val="Hyperlink"/>
                <w:noProof/>
              </w:rPr>
              <w:t>SFI FAQs</w:t>
            </w:r>
            <w:r>
              <w:rPr>
                <w:noProof/>
                <w:webHidden/>
              </w:rPr>
              <w:tab/>
            </w:r>
            <w:r>
              <w:rPr>
                <w:noProof/>
                <w:webHidden/>
              </w:rPr>
              <w:fldChar w:fldCharType="begin"/>
            </w:r>
            <w:r>
              <w:rPr>
                <w:noProof/>
                <w:webHidden/>
              </w:rPr>
              <w:instrText xml:space="preserve"> PAGEREF _Toc198818609 \h </w:instrText>
            </w:r>
            <w:r>
              <w:rPr>
                <w:noProof/>
                <w:webHidden/>
              </w:rPr>
            </w:r>
            <w:r>
              <w:rPr>
                <w:noProof/>
                <w:webHidden/>
              </w:rPr>
              <w:fldChar w:fldCharType="separate"/>
            </w:r>
            <w:r w:rsidR="00F033CC">
              <w:rPr>
                <w:noProof/>
                <w:webHidden/>
              </w:rPr>
              <w:t>14</w:t>
            </w:r>
            <w:r>
              <w:rPr>
                <w:noProof/>
                <w:webHidden/>
              </w:rPr>
              <w:fldChar w:fldCharType="end"/>
            </w:r>
          </w:hyperlink>
        </w:p>
        <w:p w14:paraId="4215BB5E" w14:textId="2682DD5C"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10" w:history="1">
            <w:r w:rsidRPr="003246BD">
              <w:rPr>
                <w:rStyle w:val="Hyperlink"/>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sz w:val="24"/>
                <w:lang w:eastAsia="en-GB"/>
                <w14:ligatures w14:val="standardContextual"/>
              </w:rPr>
              <w:tab/>
            </w:r>
            <w:r w:rsidRPr="003246BD">
              <w:rPr>
                <w:rStyle w:val="Hyperlink"/>
                <w:noProof/>
              </w:rPr>
              <w:t>General - Milestones &amp; KPIs</w:t>
            </w:r>
            <w:r>
              <w:rPr>
                <w:noProof/>
                <w:webHidden/>
              </w:rPr>
              <w:tab/>
            </w:r>
            <w:r>
              <w:rPr>
                <w:noProof/>
                <w:webHidden/>
              </w:rPr>
              <w:fldChar w:fldCharType="begin"/>
            </w:r>
            <w:r>
              <w:rPr>
                <w:noProof/>
                <w:webHidden/>
              </w:rPr>
              <w:instrText xml:space="preserve"> PAGEREF _Toc198818610 \h </w:instrText>
            </w:r>
            <w:r>
              <w:rPr>
                <w:noProof/>
                <w:webHidden/>
              </w:rPr>
            </w:r>
            <w:r>
              <w:rPr>
                <w:noProof/>
                <w:webHidden/>
              </w:rPr>
              <w:fldChar w:fldCharType="separate"/>
            </w:r>
            <w:r w:rsidR="00F033CC">
              <w:rPr>
                <w:noProof/>
                <w:webHidden/>
              </w:rPr>
              <w:t>14</w:t>
            </w:r>
            <w:r>
              <w:rPr>
                <w:noProof/>
                <w:webHidden/>
              </w:rPr>
              <w:fldChar w:fldCharType="end"/>
            </w:r>
          </w:hyperlink>
        </w:p>
        <w:p w14:paraId="56C1E49B" w14:textId="22AB315D"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11" w:history="1">
            <w:r w:rsidRPr="003246BD">
              <w:rPr>
                <w:rStyle w:val="Hyperlink"/>
                <w:noProof/>
              </w:rPr>
              <w:t>5.1.1</w:t>
            </w:r>
            <w:r>
              <w:rPr>
                <w:rFonts w:asciiTheme="minorHAnsi" w:eastAsiaTheme="minorEastAsia" w:hAnsiTheme="minorHAnsi" w:cstheme="minorBidi"/>
                <w:noProof/>
                <w:kern w:val="2"/>
                <w:sz w:val="24"/>
                <w:lang w:eastAsia="en-GB"/>
                <w14:ligatures w14:val="standardContextual"/>
              </w:rPr>
              <w:tab/>
            </w:r>
            <w:r w:rsidRPr="003246BD">
              <w:rPr>
                <w:rStyle w:val="Hyperlink"/>
                <w:noProof/>
              </w:rPr>
              <w:t>Will all KPIs and Milestones be incentivised?</w:t>
            </w:r>
            <w:r>
              <w:rPr>
                <w:noProof/>
                <w:webHidden/>
              </w:rPr>
              <w:tab/>
            </w:r>
            <w:r>
              <w:rPr>
                <w:noProof/>
                <w:webHidden/>
              </w:rPr>
              <w:fldChar w:fldCharType="begin"/>
            </w:r>
            <w:r>
              <w:rPr>
                <w:noProof/>
                <w:webHidden/>
              </w:rPr>
              <w:instrText xml:space="preserve"> PAGEREF _Toc198818611 \h </w:instrText>
            </w:r>
            <w:r>
              <w:rPr>
                <w:noProof/>
                <w:webHidden/>
              </w:rPr>
            </w:r>
            <w:r>
              <w:rPr>
                <w:noProof/>
                <w:webHidden/>
              </w:rPr>
              <w:fldChar w:fldCharType="separate"/>
            </w:r>
            <w:r w:rsidR="00F033CC">
              <w:rPr>
                <w:noProof/>
                <w:webHidden/>
              </w:rPr>
              <w:t>14</w:t>
            </w:r>
            <w:r>
              <w:rPr>
                <w:noProof/>
                <w:webHidden/>
              </w:rPr>
              <w:fldChar w:fldCharType="end"/>
            </w:r>
          </w:hyperlink>
        </w:p>
        <w:p w14:paraId="676BF7E1" w14:textId="12CBC92B"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12" w:history="1">
            <w:r w:rsidRPr="003246BD">
              <w:rPr>
                <w:rStyle w:val="Hyperlink"/>
                <w:noProof/>
              </w:rPr>
              <w:t>5.1.2</w:t>
            </w:r>
            <w:r>
              <w:rPr>
                <w:rFonts w:asciiTheme="minorHAnsi" w:eastAsiaTheme="minorEastAsia" w:hAnsiTheme="minorHAnsi" w:cstheme="minorBidi"/>
                <w:noProof/>
                <w:kern w:val="2"/>
                <w:sz w:val="24"/>
                <w:lang w:eastAsia="en-GB"/>
                <w14:ligatures w14:val="standardContextual"/>
              </w:rPr>
              <w:tab/>
            </w:r>
            <w:r w:rsidRPr="003246BD">
              <w:rPr>
                <w:rStyle w:val="Hyperlink"/>
                <w:noProof/>
              </w:rPr>
              <w:t>Will the measures/thresholds/metrics change across the duration of the contract?</w:t>
            </w:r>
            <w:r>
              <w:rPr>
                <w:noProof/>
                <w:webHidden/>
              </w:rPr>
              <w:tab/>
            </w:r>
            <w:r>
              <w:rPr>
                <w:noProof/>
                <w:webHidden/>
              </w:rPr>
              <w:fldChar w:fldCharType="begin"/>
            </w:r>
            <w:r>
              <w:rPr>
                <w:noProof/>
                <w:webHidden/>
              </w:rPr>
              <w:instrText xml:space="preserve"> PAGEREF _Toc198818612 \h </w:instrText>
            </w:r>
            <w:r>
              <w:rPr>
                <w:noProof/>
                <w:webHidden/>
              </w:rPr>
            </w:r>
            <w:r>
              <w:rPr>
                <w:noProof/>
                <w:webHidden/>
              </w:rPr>
              <w:fldChar w:fldCharType="separate"/>
            </w:r>
            <w:r w:rsidR="00F033CC">
              <w:rPr>
                <w:noProof/>
                <w:webHidden/>
              </w:rPr>
              <w:t>14</w:t>
            </w:r>
            <w:r>
              <w:rPr>
                <w:noProof/>
                <w:webHidden/>
              </w:rPr>
              <w:fldChar w:fldCharType="end"/>
            </w:r>
          </w:hyperlink>
        </w:p>
        <w:p w14:paraId="34117052" w14:textId="7880A95E"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13" w:history="1">
            <w:r w:rsidRPr="003246BD">
              <w:rPr>
                <w:rStyle w:val="Hyperlink"/>
                <w:noProof/>
              </w:rPr>
              <w:t>5.1.3</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What happens if poor performance is not the fault of the SCDP?</w:t>
            </w:r>
            <w:r>
              <w:rPr>
                <w:noProof/>
                <w:webHidden/>
              </w:rPr>
              <w:tab/>
            </w:r>
            <w:r>
              <w:rPr>
                <w:noProof/>
                <w:webHidden/>
              </w:rPr>
              <w:fldChar w:fldCharType="begin"/>
            </w:r>
            <w:r>
              <w:rPr>
                <w:noProof/>
                <w:webHidden/>
              </w:rPr>
              <w:instrText xml:space="preserve"> PAGEREF _Toc198818613 \h </w:instrText>
            </w:r>
            <w:r>
              <w:rPr>
                <w:noProof/>
                <w:webHidden/>
              </w:rPr>
            </w:r>
            <w:r>
              <w:rPr>
                <w:noProof/>
                <w:webHidden/>
              </w:rPr>
              <w:fldChar w:fldCharType="separate"/>
            </w:r>
            <w:r w:rsidR="00F033CC">
              <w:rPr>
                <w:noProof/>
                <w:webHidden/>
              </w:rPr>
              <w:t>14</w:t>
            </w:r>
            <w:r>
              <w:rPr>
                <w:noProof/>
                <w:webHidden/>
              </w:rPr>
              <w:fldChar w:fldCharType="end"/>
            </w:r>
          </w:hyperlink>
        </w:p>
        <w:p w14:paraId="1C0EBDC0" w14:textId="27C5D70D"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14" w:history="1">
            <w:r w:rsidRPr="003246BD">
              <w:rPr>
                <w:rStyle w:val="Hyperlink"/>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2"/>
                <w:sz w:val="24"/>
                <w:lang w:eastAsia="en-GB"/>
                <w14:ligatures w14:val="standardContextual"/>
              </w:rPr>
              <w:tab/>
            </w:r>
            <w:r w:rsidRPr="003246BD">
              <w:rPr>
                <w:rStyle w:val="Hyperlink"/>
                <w:noProof/>
              </w:rPr>
              <w:t>Performance KPI</w:t>
            </w:r>
            <w:r>
              <w:rPr>
                <w:noProof/>
                <w:webHidden/>
              </w:rPr>
              <w:tab/>
            </w:r>
            <w:r>
              <w:rPr>
                <w:noProof/>
                <w:webHidden/>
              </w:rPr>
              <w:fldChar w:fldCharType="begin"/>
            </w:r>
            <w:r>
              <w:rPr>
                <w:noProof/>
                <w:webHidden/>
              </w:rPr>
              <w:instrText xml:space="preserve"> PAGEREF _Toc198818614 \h </w:instrText>
            </w:r>
            <w:r>
              <w:rPr>
                <w:noProof/>
                <w:webHidden/>
              </w:rPr>
            </w:r>
            <w:r>
              <w:rPr>
                <w:noProof/>
                <w:webHidden/>
              </w:rPr>
              <w:fldChar w:fldCharType="separate"/>
            </w:r>
            <w:r w:rsidR="00F033CC">
              <w:rPr>
                <w:noProof/>
                <w:webHidden/>
              </w:rPr>
              <w:t>14</w:t>
            </w:r>
            <w:r>
              <w:rPr>
                <w:noProof/>
                <w:webHidden/>
              </w:rPr>
              <w:fldChar w:fldCharType="end"/>
            </w:r>
          </w:hyperlink>
        </w:p>
        <w:p w14:paraId="7C923EEB" w14:textId="51A535F9"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15" w:history="1">
            <w:r w:rsidRPr="003246BD">
              <w:rPr>
                <w:rStyle w:val="Hyperlink"/>
                <w:noProof/>
              </w:rPr>
              <w:t>5.2.1</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What happens if a TLI is not applicable for a particular Task Order?</w:t>
            </w:r>
            <w:r>
              <w:rPr>
                <w:noProof/>
                <w:webHidden/>
              </w:rPr>
              <w:tab/>
            </w:r>
            <w:r>
              <w:rPr>
                <w:noProof/>
                <w:webHidden/>
              </w:rPr>
              <w:fldChar w:fldCharType="begin"/>
            </w:r>
            <w:r>
              <w:rPr>
                <w:noProof/>
                <w:webHidden/>
              </w:rPr>
              <w:instrText xml:space="preserve"> PAGEREF _Toc198818615 \h </w:instrText>
            </w:r>
            <w:r>
              <w:rPr>
                <w:noProof/>
                <w:webHidden/>
              </w:rPr>
            </w:r>
            <w:r>
              <w:rPr>
                <w:noProof/>
                <w:webHidden/>
              </w:rPr>
              <w:fldChar w:fldCharType="separate"/>
            </w:r>
            <w:r w:rsidR="00F033CC">
              <w:rPr>
                <w:noProof/>
                <w:webHidden/>
              </w:rPr>
              <w:t>14</w:t>
            </w:r>
            <w:r>
              <w:rPr>
                <w:noProof/>
                <w:webHidden/>
              </w:rPr>
              <w:fldChar w:fldCharType="end"/>
            </w:r>
          </w:hyperlink>
        </w:p>
        <w:p w14:paraId="1184CB37" w14:textId="0ABBA76D"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16" w:history="1">
            <w:r w:rsidRPr="003246BD">
              <w:rPr>
                <w:rStyle w:val="Hyperlink"/>
                <w:noProof/>
              </w:rPr>
              <w:t>5.2.2</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Which score will be applied in months where no deliverable is due/it is not possible to score a TLI?</w:t>
            </w:r>
            <w:r>
              <w:rPr>
                <w:noProof/>
                <w:webHidden/>
              </w:rPr>
              <w:tab/>
            </w:r>
            <w:r>
              <w:rPr>
                <w:noProof/>
                <w:webHidden/>
              </w:rPr>
              <w:fldChar w:fldCharType="begin"/>
            </w:r>
            <w:r>
              <w:rPr>
                <w:noProof/>
                <w:webHidden/>
              </w:rPr>
              <w:instrText xml:space="preserve"> PAGEREF _Toc198818616 \h </w:instrText>
            </w:r>
            <w:r>
              <w:rPr>
                <w:noProof/>
                <w:webHidden/>
              </w:rPr>
            </w:r>
            <w:r>
              <w:rPr>
                <w:noProof/>
                <w:webHidden/>
              </w:rPr>
              <w:fldChar w:fldCharType="separate"/>
            </w:r>
            <w:r w:rsidR="00F033CC">
              <w:rPr>
                <w:noProof/>
                <w:webHidden/>
              </w:rPr>
              <w:t>14</w:t>
            </w:r>
            <w:r>
              <w:rPr>
                <w:noProof/>
                <w:webHidden/>
              </w:rPr>
              <w:fldChar w:fldCharType="end"/>
            </w:r>
          </w:hyperlink>
        </w:p>
        <w:p w14:paraId="2E74AA9D" w14:textId="53EC5613" w:rsidR="00B156B4" w:rsidRDefault="00B156B4">
          <w:pPr>
            <w:pStyle w:val="TOC3"/>
            <w:tabs>
              <w:tab w:val="left" w:pos="1320"/>
              <w:tab w:val="right" w:leader="dot" w:pos="9561"/>
            </w:tabs>
            <w:rPr>
              <w:rFonts w:asciiTheme="minorHAnsi" w:eastAsiaTheme="minorEastAsia" w:hAnsiTheme="minorHAnsi" w:cstheme="minorBidi"/>
              <w:noProof/>
              <w:kern w:val="2"/>
              <w:sz w:val="24"/>
              <w:lang w:eastAsia="en-GB"/>
              <w14:ligatures w14:val="standardContextual"/>
            </w:rPr>
          </w:pPr>
          <w:hyperlink w:anchor="_Toc198818617" w:history="1">
            <w:r w:rsidRPr="003246BD">
              <w:rPr>
                <w:rStyle w:val="Hyperlink"/>
                <w:noProof/>
              </w:rPr>
              <w:t>5.2.3</w:t>
            </w:r>
            <w:r>
              <w:rPr>
                <w:rFonts w:asciiTheme="minorHAnsi" w:eastAsiaTheme="minorEastAsia" w:hAnsiTheme="minorHAnsi" w:cstheme="minorBidi"/>
                <w:noProof/>
                <w:kern w:val="2"/>
                <w:sz w:val="24"/>
                <w:lang w:eastAsia="en-GB"/>
                <w14:ligatures w14:val="standardContextual"/>
              </w:rPr>
              <w:tab/>
            </w:r>
            <w:r w:rsidRPr="003246BD">
              <w:rPr>
                <w:rStyle w:val="Hyperlink"/>
                <w:noProof/>
              </w:rPr>
              <w:t>How many months does a Task Order need to be live for it to be included in the Performance KPI calculation?</w:t>
            </w:r>
            <w:r>
              <w:rPr>
                <w:noProof/>
                <w:webHidden/>
              </w:rPr>
              <w:tab/>
            </w:r>
            <w:r>
              <w:rPr>
                <w:noProof/>
                <w:webHidden/>
              </w:rPr>
              <w:fldChar w:fldCharType="begin"/>
            </w:r>
            <w:r>
              <w:rPr>
                <w:noProof/>
                <w:webHidden/>
              </w:rPr>
              <w:instrText xml:space="preserve"> PAGEREF _Toc198818617 \h </w:instrText>
            </w:r>
            <w:r>
              <w:rPr>
                <w:noProof/>
                <w:webHidden/>
              </w:rPr>
            </w:r>
            <w:r>
              <w:rPr>
                <w:noProof/>
                <w:webHidden/>
              </w:rPr>
              <w:fldChar w:fldCharType="separate"/>
            </w:r>
            <w:r w:rsidR="00F033CC">
              <w:rPr>
                <w:noProof/>
                <w:webHidden/>
              </w:rPr>
              <w:t>15</w:t>
            </w:r>
            <w:r>
              <w:rPr>
                <w:noProof/>
                <w:webHidden/>
              </w:rPr>
              <w:fldChar w:fldCharType="end"/>
            </w:r>
          </w:hyperlink>
        </w:p>
        <w:p w14:paraId="4CC21443" w14:textId="4F986C36" w:rsidR="00B156B4" w:rsidRDefault="00B156B4">
          <w:pPr>
            <w:pStyle w:val="TOC1"/>
            <w:tabs>
              <w:tab w:val="left" w:pos="440"/>
              <w:tab w:val="right" w:leader="dot" w:pos="9561"/>
            </w:tabs>
            <w:rPr>
              <w:rFonts w:asciiTheme="minorHAnsi" w:eastAsiaTheme="minorEastAsia" w:hAnsiTheme="minorHAnsi" w:cstheme="minorBidi"/>
              <w:noProof/>
              <w:kern w:val="2"/>
              <w:sz w:val="24"/>
              <w:lang w:eastAsia="en-GB"/>
              <w14:ligatures w14:val="standardContextual"/>
            </w:rPr>
          </w:pPr>
          <w:hyperlink w:anchor="_Toc198818618" w:history="1">
            <w:r w:rsidRPr="003246BD">
              <w:rPr>
                <w:rStyle w:val="Hyperlink"/>
                <w:iCs/>
                <w:noProof/>
              </w:rPr>
              <w:t>6</w:t>
            </w:r>
            <w:r>
              <w:rPr>
                <w:rFonts w:asciiTheme="minorHAnsi" w:eastAsiaTheme="minorEastAsia" w:hAnsiTheme="minorHAnsi" w:cstheme="minorBidi"/>
                <w:noProof/>
                <w:kern w:val="2"/>
                <w:sz w:val="24"/>
                <w:lang w:eastAsia="en-GB"/>
                <w14:ligatures w14:val="standardContextual"/>
              </w:rPr>
              <w:tab/>
            </w:r>
            <w:r w:rsidRPr="003246BD">
              <w:rPr>
                <w:rStyle w:val="Hyperlink"/>
                <w:noProof/>
              </w:rPr>
              <w:t>Contract Implications</w:t>
            </w:r>
            <w:r>
              <w:rPr>
                <w:noProof/>
                <w:webHidden/>
              </w:rPr>
              <w:tab/>
            </w:r>
            <w:r>
              <w:rPr>
                <w:noProof/>
                <w:webHidden/>
              </w:rPr>
              <w:fldChar w:fldCharType="begin"/>
            </w:r>
            <w:r>
              <w:rPr>
                <w:noProof/>
                <w:webHidden/>
              </w:rPr>
              <w:instrText xml:space="preserve"> PAGEREF _Toc198818618 \h </w:instrText>
            </w:r>
            <w:r>
              <w:rPr>
                <w:noProof/>
                <w:webHidden/>
              </w:rPr>
            </w:r>
            <w:r>
              <w:rPr>
                <w:noProof/>
                <w:webHidden/>
              </w:rPr>
              <w:fldChar w:fldCharType="separate"/>
            </w:r>
            <w:r w:rsidR="00F033CC">
              <w:rPr>
                <w:noProof/>
                <w:webHidden/>
              </w:rPr>
              <w:t>16</w:t>
            </w:r>
            <w:r>
              <w:rPr>
                <w:noProof/>
                <w:webHidden/>
              </w:rPr>
              <w:fldChar w:fldCharType="end"/>
            </w:r>
          </w:hyperlink>
        </w:p>
        <w:p w14:paraId="4C903644" w14:textId="27A97606"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19" w:history="1">
            <w:r w:rsidRPr="003246BD">
              <w:rPr>
                <w:rStyle w:val="Hyperlink"/>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sz w:val="24"/>
                <w:lang w:eastAsia="en-GB"/>
                <w14:ligatures w14:val="standardContextual"/>
              </w:rPr>
              <w:tab/>
            </w:r>
            <w:r w:rsidRPr="003246BD">
              <w:rPr>
                <w:rStyle w:val="Hyperlink"/>
                <w:noProof/>
              </w:rPr>
              <w:t>What will be set within the ITT and contract schedules?</w:t>
            </w:r>
            <w:r>
              <w:rPr>
                <w:noProof/>
                <w:webHidden/>
              </w:rPr>
              <w:tab/>
            </w:r>
            <w:r>
              <w:rPr>
                <w:noProof/>
                <w:webHidden/>
              </w:rPr>
              <w:fldChar w:fldCharType="begin"/>
            </w:r>
            <w:r>
              <w:rPr>
                <w:noProof/>
                <w:webHidden/>
              </w:rPr>
              <w:instrText xml:space="preserve"> PAGEREF _Toc198818619 \h </w:instrText>
            </w:r>
            <w:r>
              <w:rPr>
                <w:noProof/>
                <w:webHidden/>
              </w:rPr>
            </w:r>
            <w:r>
              <w:rPr>
                <w:noProof/>
                <w:webHidden/>
              </w:rPr>
              <w:fldChar w:fldCharType="separate"/>
            </w:r>
            <w:r w:rsidR="00F033CC">
              <w:rPr>
                <w:noProof/>
                <w:webHidden/>
              </w:rPr>
              <w:t>16</w:t>
            </w:r>
            <w:r>
              <w:rPr>
                <w:noProof/>
                <w:webHidden/>
              </w:rPr>
              <w:fldChar w:fldCharType="end"/>
            </w:r>
          </w:hyperlink>
        </w:p>
        <w:p w14:paraId="537EA612" w14:textId="3FFDA26D" w:rsidR="00B156B4" w:rsidRDefault="00B156B4">
          <w:pPr>
            <w:pStyle w:val="TOC2"/>
            <w:tabs>
              <w:tab w:val="left" w:pos="880"/>
              <w:tab w:val="right" w:leader="dot" w:pos="9561"/>
            </w:tabs>
            <w:rPr>
              <w:rFonts w:asciiTheme="minorHAnsi" w:eastAsiaTheme="minorEastAsia" w:hAnsiTheme="minorHAnsi" w:cstheme="minorBidi"/>
              <w:noProof/>
              <w:kern w:val="2"/>
              <w:sz w:val="24"/>
              <w:lang w:eastAsia="en-GB"/>
              <w14:ligatures w14:val="standardContextual"/>
            </w:rPr>
          </w:pPr>
          <w:hyperlink w:anchor="_Toc198818620" w:history="1">
            <w:r w:rsidRPr="003246BD">
              <w:rPr>
                <w:rStyle w:val="Hyperlink"/>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sz w:val="24"/>
                <w:lang w:eastAsia="en-GB"/>
                <w14:ligatures w14:val="standardContextual"/>
              </w:rPr>
              <w:tab/>
            </w:r>
            <w:r w:rsidRPr="003246BD">
              <w:rPr>
                <w:rStyle w:val="Hyperlink"/>
                <w:noProof/>
              </w:rPr>
              <w:t>Non-SFI TLIs and the Payment KPI (performance management clauses)</w:t>
            </w:r>
            <w:r>
              <w:rPr>
                <w:noProof/>
                <w:webHidden/>
              </w:rPr>
              <w:tab/>
            </w:r>
            <w:r>
              <w:rPr>
                <w:noProof/>
                <w:webHidden/>
              </w:rPr>
              <w:fldChar w:fldCharType="begin"/>
            </w:r>
            <w:r>
              <w:rPr>
                <w:noProof/>
                <w:webHidden/>
              </w:rPr>
              <w:instrText xml:space="preserve"> PAGEREF _Toc198818620 \h </w:instrText>
            </w:r>
            <w:r>
              <w:rPr>
                <w:noProof/>
                <w:webHidden/>
              </w:rPr>
            </w:r>
            <w:r>
              <w:rPr>
                <w:noProof/>
                <w:webHidden/>
              </w:rPr>
              <w:fldChar w:fldCharType="separate"/>
            </w:r>
            <w:r w:rsidR="00F033CC">
              <w:rPr>
                <w:noProof/>
                <w:webHidden/>
              </w:rPr>
              <w:t>16</w:t>
            </w:r>
            <w:r>
              <w:rPr>
                <w:noProof/>
                <w:webHidden/>
              </w:rPr>
              <w:fldChar w:fldCharType="end"/>
            </w:r>
          </w:hyperlink>
        </w:p>
        <w:p w14:paraId="3CB5D270" w14:textId="24703662" w:rsidR="00B156B4" w:rsidRDefault="00B156B4">
          <w:pPr>
            <w:pStyle w:val="TOC1"/>
            <w:tabs>
              <w:tab w:val="right" w:leader="dot" w:pos="9561"/>
            </w:tabs>
            <w:rPr>
              <w:rFonts w:asciiTheme="minorHAnsi" w:eastAsiaTheme="minorEastAsia" w:hAnsiTheme="minorHAnsi" w:cstheme="minorBidi"/>
              <w:noProof/>
              <w:kern w:val="2"/>
              <w:sz w:val="24"/>
              <w:lang w:eastAsia="en-GB"/>
              <w14:ligatures w14:val="standardContextual"/>
            </w:rPr>
          </w:pPr>
          <w:hyperlink w:anchor="_Toc198818621" w:history="1">
            <w:r w:rsidRPr="003246BD">
              <w:rPr>
                <w:rStyle w:val="Hyperlink"/>
                <w:noProof/>
              </w:rPr>
              <w:t>Appendix A - SFI Performance KPI – Example Scenario</w:t>
            </w:r>
            <w:r>
              <w:rPr>
                <w:noProof/>
                <w:webHidden/>
              </w:rPr>
              <w:tab/>
            </w:r>
            <w:r>
              <w:rPr>
                <w:noProof/>
                <w:webHidden/>
              </w:rPr>
              <w:fldChar w:fldCharType="begin"/>
            </w:r>
            <w:r>
              <w:rPr>
                <w:noProof/>
                <w:webHidden/>
              </w:rPr>
              <w:instrText xml:space="preserve"> PAGEREF _Toc198818621 \h </w:instrText>
            </w:r>
            <w:r>
              <w:rPr>
                <w:noProof/>
                <w:webHidden/>
              </w:rPr>
            </w:r>
            <w:r>
              <w:rPr>
                <w:noProof/>
                <w:webHidden/>
              </w:rPr>
              <w:fldChar w:fldCharType="separate"/>
            </w:r>
            <w:r w:rsidR="00F033CC">
              <w:rPr>
                <w:noProof/>
                <w:webHidden/>
              </w:rPr>
              <w:t>17</w:t>
            </w:r>
            <w:r>
              <w:rPr>
                <w:noProof/>
                <w:webHidden/>
              </w:rPr>
              <w:fldChar w:fldCharType="end"/>
            </w:r>
          </w:hyperlink>
        </w:p>
        <w:p w14:paraId="2656DA9F" w14:textId="434E3515" w:rsidR="00B156B4" w:rsidRDefault="00B156B4">
          <w:pPr>
            <w:pStyle w:val="TOC1"/>
            <w:tabs>
              <w:tab w:val="right" w:leader="dot" w:pos="9561"/>
            </w:tabs>
            <w:rPr>
              <w:rFonts w:asciiTheme="minorHAnsi" w:eastAsiaTheme="minorEastAsia" w:hAnsiTheme="minorHAnsi" w:cstheme="minorBidi"/>
              <w:noProof/>
              <w:kern w:val="2"/>
              <w:sz w:val="24"/>
              <w:lang w:eastAsia="en-GB"/>
              <w14:ligatures w14:val="standardContextual"/>
            </w:rPr>
          </w:pPr>
          <w:hyperlink w:anchor="_Toc198818622" w:history="1">
            <w:r w:rsidRPr="003246BD">
              <w:rPr>
                <w:rStyle w:val="Hyperlink"/>
                <w:noProof/>
              </w:rPr>
              <w:t>Appendix B - Summary of the SFI Balanced Scorecard &amp; Performance Measures</w:t>
            </w:r>
            <w:r>
              <w:rPr>
                <w:noProof/>
                <w:webHidden/>
              </w:rPr>
              <w:tab/>
            </w:r>
            <w:r>
              <w:rPr>
                <w:noProof/>
                <w:webHidden/>
              </w:rPr>
              <w:fldChar w:fldCharType="begin"/>
            </w:r>
            <w:r>
              <w:rPr>
                <w:noProof/>
                <w:webHidden/>
              </w:rPr>
              <w:instrText xml:space="preserve"> PAGEREF _Toc198818622 \h </w:instrText>
            </w:r>
            <w:r>
              <w:rPr>
                <w:noProof/>
                <w:webHidden/>
              </w:rPr>
            </w:r>
            <w:r>
              <w:rPr>
                <w:noProof/>
                <w:webHidden/>
              </w:rPr>
              <w:fldChar w:fldCharType="separate"/>
            </w:r>
            <w:r w:rsidR="00F033CC">
              <w:rPr>
                <w:noProof/>
                <w:webHidden/>
              </w:rPr>
              <w:t>19</w:t>
            </w:r>
            <w:r>
              <w:rPr>
                <w:noProof/>
                <w:webHidden/>
              </w:rPr>
              <w:fldChar w:fldCharType="end"/>
            </w:r>
          </w:hyperlink>
        </w:p>
        <w:p w14:paraId="4626B6AB" w14:textId="6D0DC79F" w:rsidR="00F02DD6" w:rsidRDefault="00F02DD6">
          <w:r>
            <w:rPr>
              <w:b/>
              <w:bCs/>
              <w:noProof/>
            </w:rPr>
            <w:fldChar w:fldCharType="end"/>
          </w:r>
        </w:p>
      </w:sdtContent>
    </w:sdt>
    <w:p w14:paraId="4D36B34B" w14:textId="40E40A32" w:rsidR="000B6A1A" w:rsidRPr="001843D6" w:rsidRDefault="00836D85" w:rsidP="007C5C22">
      <w:pPr>
        <w:spacing w:before="0"/>
        <w:rPr>
          <w:b/>
          <w:bCs/>
          <w:color w:val="003629"/>
          <w:sz w:val="32"/>
          <w:szCs w:val="32"/>
        </w:rPr>
      </w:pPr>
      <w:r w:rsidRPr="001843D6">
        <w:rPr>
          <w:b/>
          <w:bCs/>
          <w:color w:val="003629"/>
          <w:sz w:val="32"/>
          <w:szCs w:val="32"/>
        </w:rPr>
        <w:t>Tables</w:t>
      </w:r>
    </w:p>
    <w:p w14:paraId="2C380188" w14:textId="55FC1B4B" w:rsidR="00B156B4" w:rsidRDefault="00836D85">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r>
        <w:rPr>
          <w:b/>
          <w:bCs/>
          <w:sz w:val="32"/>
          <w:szCs w:val="32"/>
        </w:rPr>
        <w:fldChar w:fldCharType="begin"/>
      </w:r>
      <w:r>
        <w:rPr>
          <w:b/>
          <w:bCs/>
          <w:sz w:val="32"/>
          <w:szCs w:val="32"/>
        </w:rPr>
        <w:instrText xml:space="preserve"> TOC \h \z \c "Table" </w:instrText>
      </w:r>
      <w:r>
        <w:rPr>
          <w:b/>
          <w:bCs/>
          <w:sz w:val="32"/>
          <w:szCs w:val="32"/>
        </w:rPr>
        <w:fldChar w:fldCharType="separate"/>
      </w:r>
      <w:hyperlink w:anchor="_Toc198818623" w:history="1">
        <w:r w:rsidR="00B156B4" w:rsidRPr="00B6177C">
          <w:rPr>
            <w:rStyle w:val="Hyperlink"/>
            <w:noProof/>
          </w:rPr>
          <w:t>Table 1: Disbursement Thresholds</w:t>
        </w:r>
        <w:r w:rsidR="00B156B4">
          <w:rPr>
            <w:noProof/>
            <w:webHidden/>
          </w:rPr>
          <w:tab/>
        </w:r>
        <w:r w:rsidR="00B156B4">
          <w:rPr>
            <w:noProof/>
            <w:webHidden/>
          </w:rPr>
          <w:fldChar w:fldCharType="begin"/>
        </w:r>
        <w:r w:rsidR="00B156B4">
          <w:rPr>
            <w:noProof/>
            <w:webHidden/>
          </w:rPr>
          <w:instrText xml:space="preserve"> PAGEREF _Toc198818623 \h </w:instrText>
        </w:r>
        <w:r w:rsidR="00B156B4">
          <w:rPr>
            <w:noProof/>
            <w:webHidden/>
          </w:rPr>
        </w:r>
        <w:r w:rsidR="00B156B4">
          <w:rPr>
            <w:noProof/>
            <w:webHidden/>
          </w:rPr>
          <w:fldChar w:fldCharType="separate"/>
        </w:r>
        <w:r w:rsidR="00F033CC">
          <w:rPr>
            <w:noProof/>
            <w:webHidden/>
          </w:rPr>
          <w:t>11</w:t>
        </w:r>
        <w:r w:rsidR="00B156B4">
          <w:rPr>
            <w:noProof/>
            <w:webHidden/>
          </w:rPr>
          <w:fldChar w:fldCharType="end"/>
        </w:r>
      </w:hyperlink>
    </w:p>
    <w:p w14:paraId="7B9F92C6" w14:textId="4DDE4E61" w:rsidR="00B156B4" w:rsidRDefault="00B156B4">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198818624" w:history="1">
        <w:r w:rsidRPr="00B6177C">
          <w:rPr>
            <w:rStyle w:val="Hyperlink"/>
            <w:noProof/>
          </w:rPr>
          <w:t>Table 2: Standards of performance</w:t>
        </w:r>
        <w:r>
          <w:rPr>
            <w:noProof/>
            <w:webHidden/>
          </w:rPr>
          <w:tab/>
        </w:r>
        <w:r>
          <w:rPr>
            <w:noProof/>
            <w:webHidden/>
          </w:rPr>
          <w:fldChar w:fldCharType="begin"/>
        </w:r>
        <w:r>
          <w:rPr>
            <w:noProof/>
            <w:webHidden/>
          </w:rPr>
          <w:instrText xml:space="preserve"> PAGEREF _Toc198818624 \h </w:instrText>
        </w:r>
        <w:r>
          <w:rPr>
            <w:noProof/>
            <w:webHidden/>
          </w:rPr>
        </w:r>
        <w:r>
          <w:rPr>
            <w:noProof/>
            <w:webHidden/>
          </w:rPr>
          <w:fldChar w:fldCharType="separate"/>
        </w:r>
        <w:r w:rsidR="00F033CC">
          <w:rPr>
            <w:noProof/>
            <w:webHidden/>
          </w:rPr>
          <w:t>12</w:t>
        </w:r>
        <w:r>
          <w:rPr>
            <w:noProof/>
            <w:webHidden/>
          </w:rPr>
          <w:fldChar w:fldCharType="end"/>
        </w:r>
      </w:hyperlink>
    </w:p>
    <w:p w14:paraId="33CEA400" w14:textId="7B3D55C5" w:rsidR="00B156B4" w:rsidRDefault="00B156B4">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hyperlink w:anchor="_Toc198818625" w:history="1">
        <w:r w:rsidRPr="00B6177C">
          <w:rPr>
            <w:rStyle w:val="Hyperlink"/>
            <w:noProof/>
          </w:rPr>
          <w:t>Table 3: SFI Retention</w:t>
        </w:r>
        <w:r>
          <w:rPr>
            <w:noProof/>
            <w:webHidden/>
          </w:rPr>
          <w:tab/>
        </w:r>
        <w:r>
          <w:rPr>
            <w:noProof/>
            <w:webHidden/>
          </w:rPr>
          <w:fldChar w:fldCharType="begin"/>
        </w:r>
        <w:r>
          <w:rPr>
            <w:noProof/>
            <w:webHidden/>
          </w:rPr>
          <w:instrText xml:space="preserve"> PAGEREF _Toc198818625 \h </w:instrText>
        </w:r>
        <w:r>
          <w:rPr>
            <w:noProof/>
            <w:webHidden/>
          </w:rPr>
        </w:r>
        <w:r>
          <w:rPr>
            <w:noProof/>
            <w:webHidden/>
          </w:rPr>
          <w:fldChar w:fldCharType="separate"/>
        </w:r>
        <w:r w:rsidR="00F033CC">
          <w:rPr>
            <w:noProof/>
            <w:webHidden/>
          </w:rPr>
          <w:t>13</w:t>
        </w:r>
        <w:r>
          <w:rPr>
            <w:noProof/>
            <w:webHidden/>
          </w:rPr>
          <w:fldChar w:fldCharType="end"/>
        </w:r>
      </w:hyperlink>
    </w:p>
    <w:p w14:paraId="1C575442" w14:textId="19766766" w:rsidR="00531D0B" w:rsidRPr="001843D6" w:rsidRDefault="00836D85" w:rsidP="007C5C22">
      <w:pPr>
        <w:spacing w:before="0"/>
        <w:rPr>
          <w:b/>
          <w:bCs/>
          <w:color w:val="003629"/>
          <w:sz w:val="32"/>
          <w:szCs w:val="32"/>
        </w:rPr>
      </w:pPr>
      <w:r>
        <w:rPr>
          <w:b/>
          <w:bCs/>
          <w:sz w:val="32"/>
          <w:szCs w:val="32"/>
        </w:rPr>
        <w:fldChar w:fldCharType="end"/>
      </w:r>
      <w:r w:rsidR="00C9090C" w:rsidRPr="001843D6">
        <w:rPr>
          <w:b/>
          <w:bCs/>
          <w:color w:val="003629"/>
          <w:sz w:val="32"/>
          <w:szCs w:val="32"/>
        </w:rPr>
        <w:t>Figures</w:t>
      </w:r>
    </w:p>
    <w:p w14:paraId="2088C672" w14:textId="3CBCA27D" w:rsidR="00B156B4" w:rsidRDefault="00C9090C">
      <w:pPr>
        <w:pStyle w:val="TableofFigures"/>
        <w:tabs>
          <w:tab w:val="right" w:leader="dot" w:pos="9561"/>
        </w:tabs>
        <w:rPr>
          <w:rFonts w:asciiTheme="minorHAnsi" w:eastAsiaTheme="minorEastAsia" w:hAnsiTheme="minorHAnsi" w:cstheme="minorBidi"/>
          <w:noProof/>
          <w:kern w:val="2"/>
          <w:sz w:val="24"/>
          <w:lang w:eastAsia="en-GB"/>
          <w14:ligatures w14:val="standardContextual"/>
        </w:rPr>
      </w:pPr>
      <w:r>
        <w:rPr>
          <w:szCs w:val="22"/>
        </w:rPr>
        <w:fldChar w:fldCharType="begin"/>
      </w:r>
      <w:r>
        <w:rPr>
          <w:szCs w:val="22"/>
        </w:rPr>
        <w:instrText xml:space="preserve"> TOC \h \z \c "Figure" </w:instrText>
      </w:r>
      <w:r>
        <w:rPr>
          <w:szCs w:val="22"/>
        </w:rPr>
        <w:fldChar w:fldCharType="separate"/>
      </w:r>
      <w:hyperlink w:anchor="_Toc198818626" w:history="1">
        <w:r w:rsidR="00B156B4" w:rsidRPr="007D2D56">
          <w:rPr>
            <w:rStyle w:val="Hyperlink"/>
            <w:noProof/>
          </w:rPr>
          <w:t>Figure 1: Illustration of SFI retention</w:t>
        </w:r>
        <w:r w:rsidR="00B156B4">
          <w:rPr>
            <w:noProof/>
            <w:webHidden/>
          </w:rPr>
          <w:tab/>
        </w:r>
        <w:r w:rsidR="00B156B4">
          <w:rPr>
            <w:noProof/>
            <w:webHidden/>
          </w:rPr>
          <w:fldChar w:fldCharType="begin"/>
        </w:r>
        <w:r w:rsidR="00B156B4">
          <w:rPr>
            <w:noProof/>
            <w:webHidden/>
          </w:rPr>
          <w:instrText xml:space="preserve"> PAGEREF _Toc198818626 \h </w:instrText>
        </w:r>
        <w:r w:rsidR="00B156B4">
          <w:rPr>
            <w:noProof/>
            <w:webHidden/>
          </w:rPr>
        </w:r>
        <w:r w:rsidR="00B156B4">
          <w:rPr>
            <w:noProof/>
            <w:webHidden/>
          </w:rPr>
          <w:fldChar w:fldCharType="separate"/>
        </w:r>
        <w:r w:rsidR="00F033CC">
          <w:rPr>
            <w:noProof/>
            <w:webHidden/>
          </w:rPr>
          <w:t>8</w:t>
        </w:r>
        <w:r w:rsidR="00B156B4">
          <w:rPr>
            <w:noProof/>
            <w:webHidden/>
          </w:rPr>
          <w:fldChar w:fldCharType="end"/>
        </w:r>
      </w:hyperlink>
    </w:p>
    <w:p w14:paraId="1C796764" w14:textId="3A31C0C8" w:rsidR="00531D0B" w:rsidRDefault="00C9090C" w:rsidP="007C5C22">
      <w:pPr>
        <w:spacing w:before="0"/>
        <w:rPr>
          <w:szCs w:val="22"/>
        </w:rPr>
      </w:pPr>
      <w:r>
        <w:rPr>
          <w:szCs w:val="22"/>
        </w:rPr>
        <w:fldChar w:fldCharType="end"/>
      </w:r>
    </w:p>
    <w:p w14:paraId="2E4D83E0" w14:textId="77777777" w:rsidR="00531D0B" w:rsidRDefault="00531D0B" w:rsidP="007C5C22">
      <w:pPr>
        <w:spacing w:before="0"/>
        <w:rPr>
          <w:szCs w:val="22"/>
        </w:rPr>
      </w:pPr>
    </w:p>
    <w:p w14:paraId="1CADD23C" w14:textId="77777777" w:rsidR="001C1788" w:rsidRDefault="001C1788">
      <w:pPr>
        <w:spacing w:before="0"/>
        <w:rPr>
          <w:szCs w:val="22"/>
        </w:rPr>
      </w:pPr>
      <w:bookmarkStart w:id="2" w:name="_Toc35432042"/>
      <w:r>
        <w:rPr>
          <w:szCs w:val="22"/>
        </w:rPr>
        <w:br w:type="page"/>
      </w:r>
    </w:p>
    <w:p w14:paraId="06A443DD" w14:textId="402759F0" w:rsidR="00832D12" w:rsidRPr="00BE5982" w:rsidRDefault="00832D12" w:rsidP="00C05B9E">
      <w:pPr>
        <w:jc w:val="center"/>
        <w:rPr>
          <w:sz w:val="32"/>
          <w:szCs w:val="32"/>
        </w:rPr>
      </w:pPr>
      <w:r w:rsidRPr="00BE5982">
        <w:rPr>
          <w:sz w:val="32"/>
          <w:szCs w:val="32"/>
        </w:rPr>
        <w:lastRenderedPageBreak/>
        <w:t>Definitions</w:t>
      </w:r>
    </w:p>
    <w:p w14:paraId="5D2CE7AA" w14:textId="77777777" w:rsidR="00381066" w:rsidRDefault="00381066" w:rsidP="00832D12"/>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975"/>
      </w:tblGrid>
      <w:tr w:rsidR="004F1234" w14:paraId="1A9ADFCD" w14:textId="77777777" w:rsidTr="23FEE6CD">
        <w:tc>
          <w:tcPr>
            <w:tcW w:w="2539" w:type="dxa"/>
          </w:tcPr>
          <w:p w14:paraId="586C71C7" w14:textId="397785D7" w:rsidR="004F1234" w:rsidRPr="00381066" w:rsidRDefault="003D2F84" w:rsidP="00832D12">
            <w:pPr>
              <w:rPr>
                <w:b/>
                <w:bCs/>
              </w:rPr>
            </w:pPr>
            <w:r w:rsidRPr="2AAA1C9E">
              <w:rPr>
                <w:b/>
                <w:bCs/>
              </w:rPr>
              <w:t>Authority:</w:t>
            </w:r>
          </w:p>
        </w:tc>
        <w:tc>
          <w:tcPr>
            <w:tcW w:w="6975" w:type="dxa"/>
          </w:tcPr>
          <w:p w14:paraId="5355B8AE" w14:textId="1F4F0009" w:rsidR="004F1234" w:rsidRPr="003271DF" w:rsidRDefault="00F2736A" w:rsidP="00832D12">
            <w:r>
              <w:t>Means Nuclear Waste Services Ltd (NWS)</w:t>
            </w:r>
            <w:r w:rsidR="002B2367">
              <w:t xml:space="preserve"> </w:t>
            </w:r>
            <w:r w:rsidR="00773FA4">
              <w:t>“</w:t>
            </w:r>
            <w:r w:rsidR="002B2367">
              <w:t>The Client</w:t>
            </w:r>
            <w:r w:rsidR="00773FA4">
              <w:t>”</w:t>
            </w:r>
            <w:r>
              <w:t>.</w:t>
            </w:r>
          </w:p>
        </w:tc>
      </w:tr>
      <w:tr w:rsidR="00F66492" w14:paraId="2C5C4348" w14:textId="77777777" w:rsidTr="23FEE6CD">
        <w:tc>
          <w:tcPr>
            <w:tcW w:w="2539" w:type="dxa"/>
          </w:tcPr>
          <w:p w14:paraId="36A40905" w14:textId="678662A7" w:rsidR="00F66492" w:rsidRPr="00F66492" w:rsidRDefault="0020038E" w:rsidP="00F66492">
            <w:pPr>
              <w:rPr>
                <w:b/>
                <w:bCs/>
              </w:rPr>
            </w:pPr>
            <w:r w:rsidRPr="0020038E">
              <w:rPr>
                <w:b/>
                <w:bCs/>
              </w:rPr>
              <w:t>Contract:</w:t>
            </w:r>
          </w:p>
        </w:tc>
        <w:tc>
          <w:tcPr>
            <w:tcW w:w="6975" w:type="dxa"/>
          </w:tcPr>
          <w:p w14:paraId="4DFADF7B" w14:textId="2872D767" w:rsidR="00F66492" w:rsidRPr="00714B1E" w:rsidRDefault="0020038E" w:rsidP="00F66492">
            <w:r w:rsidRPr="0020038E">
              <w:t>The overarching agreement which governs the relationship between the Site Characterisation Delivery Partner and the Authority. The Contract will set out the mechanisms by which the Authority can instruct the Site Characterisation Delivery Partner to deliver services through the issue of Task Orders.</w:t>
            </w:r>
          </w:p>
        </w:tc>
      </w:tr>
      <w:tr w:rsidR="003828D3" w14:paraId="6BA2EEE9" w14:textId="77777777" w:rsidTr="23FEE6CD">
        <w:tc>
          <w:tcPr>
            <w:tcW w:w="2539" w:type="dxa"/>
          </w:tcPr>
          <w:p w14:paraId="6A8DF393" w14:textId="0421F470" w:rsidR="003828D3" w:rsidRPr="00F66492" w:rsidRDefault="006A4BBC" w:rsidP="003828D3">
            <w:pPr>
              <w:rPr>
                <w:b/>
                <w:bCs/>
              </w:rPr>
            </w:pPr>
            <w:r w:rsidRPr="006A4BBC">
              <w:rPr>
                <w:b/>
                <w:bCs/>
              </w:rPr>
              <w:t>Key Performance Indicators (KPIs</w:t>
            </w:r>
            <w:r>
              <w:rPr>
                <w:b/>
                <w:bCs/>
              </w:rPr>
              <w:t>)</w:t>
            </w:r>
          </w:p>
        </w:tc>
        <w:tc>
          <w:tcPr>
            <w:tcW w:w="6975" w:type="dxa"/>
          </w:tcPr>
          <w:p w14:paraId="62C6471C" w14:textId="0DAAC597" w:rsidR="009F6698" w:rsidRPr="00714B1E" w:rsidRDefault="006A4BBC" w:rsidP="003828D3">
            <w:r w:rsidRPr="006A4BBC">
              <w:t xml:space="preserve">Quantifiable metrics that will be set out in the Contract and used to measure how well the Site Characterisation Delivery Partner is performing.  </w:t>
            </w:r>
          </w:p>
        </w:tc>
      </w:tr>
      <w:tr w:rsidR="003828D3" w14:paraId="1D4AC05A" w14:textId="77777777" w:rsidTr="23FEE6CD">
        <w:tc>
          <w:tcPr>
            <w:tcW w:w="2539" w:type="dxa"/>
          </w:tcPr>
          <w:p w14:paraId="2328E8F0" w14:textId="514BC397" w:rsidR="003828D3" w:rsidRPr="00F66492" w:rsidRDefault="003A2434" w:rsidP="003828D3">
            <w:pPr>
              <w:rPr>
                <w:b/>
                <w:bCs/>
              </w:rPr>
            </w:pPr>
            <w:r w:rsidRPr="003A2434">
              <w:rPr>
                <w:b/>
                <w:bCs/>
              </w:rPr>
              <w:t>Milestones:</w:t>
            </w:r>
          </w:p>
        </w:tc>
        <w:tc>
          <w:tcPr>
            <w:tcW w:w="6975" w:type="dxa"/>
          </w:tcPr>
          <w:p w14:paraId="737CFEE0" w14:textId="1765584B" w:rsidR="003828D3" w:rsidRPr="00714B1E" w:rsidRDefault="00FD3DFB" w:rsidP="003828D3">
            <w:r>
              <w:t>TBA</w:t>
            </w:r>
          </w:p>
        </w:tc>
      </w:tr>
      <w:tr w:rsidR="003828D3" w14:paraId="04B5525E" w14:textId="77777777" w:rsidTr="23FEE6CD">
        <w:tc>
          <w:tcPr>
            <w:tcW w:w="2539" w:type="dxa"/>
          </w:tcPr>
          <w:p w14:paraId="3DFE0B37" w14:textId="7AC93B79" w:rsidR="003828D3" w:rsidRDefault="00D01152" w:rsidP="003828D3">
            <w:pPr>
              <w:rPr>
                <w:b/>
                <w:bCs/>
              </w:rPr>
            </w:pPr>
            <w:r w:rsidRPr="00D01152">
              <w:rPr>
                <w:b/>
                <w:bCs/>
              </w:rPr>
              <w:t xml:space="preserve">Non-SFI Task Level Indicators (Non-SFI TLIs):  </w:t>
            </w:r>
          </w:p>
        </w:tc>
        <w:tc>
          <w:tcPr>
            <w:tcW w:w="6975" w:type="dxa"/>
          </w:tcPr>
          <w:p w14:paraId="56012355" w14:textId="59A2EBC4" w:rsidR="003828D3" w:rsidRDefault="00D01152" w:rsidP="003828D3">
            <w:r w:rsidRPr="00D01152">
              <w:t xml:space="preserve">Performance-based metrics that are applied either to individual Task Orders or at contract level but do not count towards the Performance KPI. </w:t>
            </w:r>
          </w:p>
        </w:tc>
      </w:tr>
      <w:tr w:rsidR="000F0EB1" w14:paraId="211129AA" w14:textId="77777777" w:rsidTr="23FEE6CD">
        <w:tc>
          <w:tcPr>
            <w:tcW w:w="2539" w:type="dxa"/>
          </w:tcPr>
          <w:p w14:paraId="74E049DD" w14:textId="1A497E91" w:rsidR="000F0EB1" w:rsidRPr="001D54B5" w:rsidRDefault="000F0EB1" w:rsidP="003828D3">
            <w:pPr>
              <w:rPr>
                <w:b/>
                <w:bCs/>
              </w:rPr>
            </w:pPr>
            <w:r>
              <w:rPr>
                <w:b/>
                <w:bCs/>
              </w:rPr>
              <w:t>SFI</w:t>
            </w:r>
          </w:p>
        </w:tc>
        <w:tc>
          <w:tcPr>
            <w:tcW w:w="6975" w:type="dxa"/>
          </w:tcPr>
          <w:p w14:paraId="5B7E8DC2" w14:textId="066CA01E" w:rsidR="000F0EB1" w:rsidRPr="001D54B5" w:rsidRDefault="000F0EB1" w:rsidP="003828D3">
            <w:r>
              <w:t>Self-Funded Incentive</w:t>
            </w:r>
            <w:r w:rsidR="00E23707">
              <w:t xml:space="preserve"> is the mechanism where the Consultant puts at risk </w:t>
            </w:r>
            <w:r w:rsidR="00B17472">
              <w:t>a percentage of their costs against</w:t>
            </w:r>
            <w:r w:rsidR="00431C65">
              <w:t xml:space="preserve"> performance </w:t>
            </w:r>
            <w:r w:rsidR="008E63B0">
              <w:t>output.</w:t>
            </w:r>
          </w:p>
        </w:tc>
      </w:tr>
      <w:tr w:rsidR="006C4AEB" w14:paraId="0AB79040" w14:textId="77777777" w:rsidTr="23FEE6CD">
        <w:tc>
          <w:tcPr>
            <w:tcW w:w="2539" w:type="dxa"/>
          </w:tcPr>
          <w:p w14:paraId="78E411E8" w14:textId="7761ED8A" w:rsidR="006C4AEB" w:rsidRPr="00F66492" w:rsidRDefault="001D54B5" w:rsidP="003828D3">
            <w:pPr>
              <w:rPr>
                <w:b/>
                <w:bCs/>
              </w:rPr>
            </w:pPr>
            <w:r w:rsidRPr="001D54B5">
              <w:rPr>
                <w:b/>
                <w:bCs/>
              </w:rPr>
              <w:t xml:space="preserve">SFI Task Level Indicators (SFI TLIs): </w:t>
            </w:r>
          </w:p>
        </w:tc>
        <w:tc>
          <w:tcPr>
            <w:tcW w:w="6975" w:type="dxa"/>
          </w:tcPr>
          <w:p w14:paraId="608FE0FF" w14:textId="2938FA4D" w:rsidR="006C4AEB" w:rsidRPr="00714B1E" w:rsidRDefault="001D54B5" w:rsidP="003828D3">
            <w:r w:rsidRPr="001D54B5">
              <w:t xml:space="preserve">Metrics that are applied to individual Task Orders and scored monthly for the purposes of the Performance KPI. </w:t>
            </w:r>
          </w:p>
        </w:tc>
      </w:tr>
      <w:tr w:rsidR="006C4AEB" w14:paraId="58C8FCF6" w14:textId="77777777" w:rsidTr="23FEE6CD">
        <w:tc>
          <w:tcPr>
            <w:tcW w:w="2539" w:type="dxa"/>
          </w:tcPr>
          <w:p w14:paraId="79FDD81D" w14:textId="28417C35" w:rsidR="006C4AEB" w:rsidRPr="00F66492" w:rsidRDefault="004B5156" w:rsidP="003828D3">
            <w:pPr>
              <w:rPr>
                <w:b/>
                <w:bCs/>
              </w:rPr>
            </w:pPr>
            <w:r w:rsidRPr="004B5156">
              <w:rPr>
                <w:b/>
                <w:bCs/>
              </w:rPr>
              <w:t>SFI Retention:</w:t>
            </w:r>
          </w:p>
        </w:tc>
        <w:tc>
          <w:tcPr>
            <w:tcW w:w="6975" w:type="dxa"/>
          </w:tcPr>
          <w:p w14:paraId="1A58B94A" w14:textId="549694E3" w:rsidR="006C4AEB" w:rsidRPr="00714B1E" w:rsidRDefault="004B5156" w:rsidP="003828D3">
            <w:r w:rsidRPr="004B5156">
              <w:t>A fixed percentage retention (10%) that is a withheld from each application for payment, subject to specific exceptions.</w:t>
            </w:r>
          </w:p>
        </w:tc>
      </w:tr>
      <w:tr w:rsidR="006C4AEB" w14:paraId="16205728" w14:textId="77777777" w:rsidTr="23FEE6CD">
        <w:tc>
          <w:tcPr>
            <w:tcW w:w="2539" w:type="dxa"/>
          </w:tcPr>
          <w:p w14:paraId="45C796BB" w14:textId="371F369A" w:rsidR="006C4AEB" w:rsidRPr="00F66492" w:rsidRDefault="005C2AD9" w:rsidP="003828D3">
            <w:pPr>
              <w:rPr>
                <w:b/>
                <w:bCs/>
              </w:rPr>
            </w:pPr>
            <w:r w:rsidRPr="005C2AD9">
              <w:rPr>
                <w:b/>
                <w:bCs/>
              </w:rPr>
              <w:t>Site Characterisation Delivery Partner (SCDP):</w:t>
            </w:r>
          </w:p>
        </w:tc>
        <w:tc>
          <w:tcPr>
            <w:tcW w:w="6975" w:type="dxa"/>
          </w:tcPr>
          <w:p w14:paraId="14EE542F" w14:textId="09E71F56" w:rsidR="006C4AEB" w:rsidRPr="00714B1E" w:rsidRDefault="005C2AD9" w:rsidP="003828D3">
            <w:r w:rsidRPr="005C2AD9">
              <w:t xml:space="preserve">Consultant organisation(s) (being the counterparty or counterparties to </w:t>
            </w:r>
            <w:r w:rsidR="005279C9">
              <w:t>the Client</w:t>
            </w:r>
            <w:r w:rsidR="005279C9" w:rsidRPr="005C2AD9">
              <w:t xml:space="preserve"> </w:t>
            </w:r>
            <w:r w:rsidRPr="005C2AD9">
              <w:t>under the Contract) responsible for the delivery of the underpinning geological information (Site Descriptive Model (SDM)) though the design, specification, support of procurement, and management of the Site Characterisation programme (SCP) including borehole design and management of the Drilling Contractor.</w:t>
            </w:r>
          </w:p>
        </w:tc>
      </w:tr>
      <w:tr w:rsidR="00A05E7A" w14:paraId="6CDC8595" w14:textId="77777777" w:rsidTr="23FEE6CD">
        <w:tc>
          <w:tcPr>
            <w:tcW w:w="2539" w:type="dxa"/>
          </w:tcPr>
          <w:p w14:paraId="1B56141E" w14:textId="7A99BCCC" w:rsidR="00A05E7A" w:rsidRPr="00F66492" w:rsidRDefault="00D51292" w:rsidP="003828D3">
            <w:pPr>
              <w:rPr>
                <w:b/>
                <w:bCs/>
              </w:rPr>
            </w:pPr>
            <w:r w:rsidRPr="00D51292">
              <w:rPr>
                <w:b/>
                <w:bCs/>
              </w:rPr>
              <w:t>Task Level Indicators (TLIs):</w:t>
            </w:r>
          </w:p>
        </w:tc>
        <w:tc>
          <w:tcPr>
            <w:tcW w:w="6975" w:type="dxa"/>
          </w:tcPr>
          <w:p w14:paraId="504E749D" w14:textId="72B2EFC5" w:rsidR="00A05E7A" w:rsidRPr="00714B1E" w:rsidRDefault="00D51292" w:rsidP="003828D3">
            <w:r w:rsidRPr="00D51292">
              <w:t xml:space="preserve">Metrics that are applied to individual Task Orders, comprising both SFI TLIs and Non-SFI TLIs.  </w:t>
            </w:r>
          </w:p>
        </w:tc>
      </w:tr>
      <w:tr w:rsidR="00A05E7A" w14:paraId="008F7BFD" w14:textId="77777777" w:rsidTr="23FEE6CD">
        <w:tc>
          <w:tcPr>
            <w:tcW w:w="2539" w:type="dxa"/>
          </w:tcPr>
          <w:p w14:paraId="22919380" w14:textId="51CE8DDE" w:rsidR="00A05E7A" w:rsidRPr="00F66492" w:rsidRDefault="0032417C" w:rsidP="003828D3">
            <w:pPr>
              <w:rPr>
                <w:b/>
                <w:bCs/>
              </w:rPr>
            </w:pPr>
            <w:r w:rsidRPr="0032417C">
              <w:rPr>
                <w:b/>
                <w:bCs/>
              </w:rPr>
              <w:t>Task Orders (or ‘Tasks’):</w:t>
            </w:r>
          </w:p>
        </w:tc>
        <w:tc>
          <w:tcPr>
            <w:tcW w:w="6975" w:type="dxa"/>
          </w:tcPr>
          <w:p w14:paraId="45D46766" w14:textId="2B083C96" w:rsidR="00A05E7A" w:rsidRPr="00714B1E" w:rsidRDefault="0032417C" w:rsidP="003828D3">
            <w:r w:rsidRPr="0032417C">
              <w:t>An instruction from the Authority to the SCDP to perform a specific scope of work or defined set of services, within the overall scope of work and services under the Contract.</w:t>
            </w:r>
          </w:p>
        </w:tc>
      </w:tr>
    </w:tbl>
    <w:p w14:paraId="6ECE97D9" w14:textId="3A5F0165" w:rsidR="00832D12" w:rsidRPr="001A2998" w:rsidRDefault="00832D12" w:rsidP="001A2998">
      <w:r w:rsidRPr="00BE5982">
        <w:br w:type="page"/>
      </w:r>
    </w:p>
    <w:p w14:paraId="78B156AC" w14:textId="32883F6C" w:rsidR="00DF398B" w:rsidRDefault="0032417C" w:rsidP="00081A60">
      <w:pPr>
        <w:pStyle w:val="Heading11"/>
      </w:pPr>
      <w:bookmarkStart w:id="3" w:name="_Toc198818585"/>
      <w:bookmarkEnd w:id="2"/>
      <w:r>
        <w:lastRenderedPageBreak/>
        <w:t xml:space="preserve">Purpose of this </w:t>
      </w:r>
      <w:r w:rsidRPr="001843D6">
        <w:t>document</w:t>
      </w:r>
      <w:bookmarkEnd w:id="3"/>
    </w:p>
    <w:p w14:paraId="23674778" w14:textId="73229BB1" w:rsidR="00477544" w:rsidRPr="00477544" w:rsidRDefault="0032417C" w:rsidP="00477544">
      <w:pPr>
        <w:pStyle w:val="Heading21"/>
      </w:pPr>
      <w:bookmarkStart w:id="4" w:name="_Toc198818586"/>
      <w:r>
        <w:t>Overview</w:t>
      </w:r>
      <w:bookmarkEnd w:id="4"/>
    </w:p>
    <w:p w14:paraId="09D3AAE8" w14:textId="77777777" w:rsidR="00357F60" w:rsidRDefault="00357F60" w:rsidP="00357F60">
      <w:r>
        <w:t>The purpose of this document is to articulate the principles of the Self-Funded Incentive Mechanism (SFI) which is proposed for inclusion within the Site Characterisation Delivery Partner (SCDP) procurement. This document is intended to create a common understanding of the core principles and implications of the SFI mechanism to support market engagement and legal drafting of schedules in preparation for the procurement.</w:t>
      </w:r>
    </w:p>
    <w:p w14:paraId="4C418DC0" w14:textId="57772826" w:rsidR="00AB1FB7" w:rsidRDefault="00357F60" w:rsidP="00357F60">
      <w:r>
        <w:t>This document should be read in conjunction with the Performance Metrics Table.</w:t>
      </w:r>
    </w:p>
    <w:p w14:paraId="068ED061" w14:textId="77777777" w:rsidR="00DD2DB7" w:rsidRPr="00050AD1" w:rsidRDefault="00DD2DB7" w:rsidP="00077219">
      <w:pPr>
        <w:rPr>
          <w:rFonts w:eastAsia="Arial"/>
          <w:i/>
          <w:iCs/>
          <w:color w:val="FF0000"/>
          <w:highlight w:val="white"/>
          <w:lang w:eastAsia="en-GB"/>
        </w:rPr>
      </w:pPr>
      <w:r w:rsidRPr="00050AD1">
        <w:rPr>
          <w:rFonts w:eastAsia="Arial"/>
          <w:i/>
          <w:iCs/>
          <w:color w:val="FF0000"/>
          <w:highlight w:val="white"/>
          <w:lang w:eastAsia="en-GB"/>
        </w:rPr>
        <w:t>Please note: All information outlined in this document is indicative, remains under development, and is subject to change.</w:t>
      </w:r>
    </w:p>
    <w:p w14:paraId="0D891C77" w14:textId="77777777" w:rsidR="0032417C" w:rsidRDefault="0032417C" w:rsidP="00050E2E"/>
    <w:p w14:paraId="3D0446F1" w14:textId="77777777" w:rsidR="0032417C" w:rsidRDefault="0032417C" w:rsidP="00050E2E"/>
    <w:p w14:paraId="27E1CF39" w14:textId="77777777" w:rsidR="0032417C" w:rsidRPr="0032417C" w:rsidRDefault="0032417C" w:rsidP="00050E2E"/>
    <w:p w14:paraId="04913C01" w14:textId="585CE001" w:rsidR="00A52326" w:rsidRDefault="00DC2653" w:rsidP="00DC2653">
      <w:pPr>
        <w:pStyle w:val="Heading11"/>
      </w:pPr>
      <w:bookmarkStart w:id="5" w:name="_Toc198818587"/>
      <w:r w:rsidRPr="00DC2653">
        <w:lastRenderedPageBreak/>
        <w:t>O</w:t>
      </w:r>
      <w:r w:rsidR="00986621">
        <w:t xml:space="preserve">verview </w:t>
      </w:r>
      <w:r w:rsidRPr="00DC2653">
        <w:t xml:space="preserve">of the </w:t>
      </w:r>
      <w:r w:rsidR="00986621">
        <w:t>SFI</w:t>
      </w:r>
      <w:bookmarkEnd w:id="5"/>
    </w:p>
    <w:p w14:paraId="4ED4C3AF" w14:textId="1EBE2C39" w:rsidR="002959F6" w:rsidRDefault="00B522CE" w:rsidP="00221454">
      <w:pPr>
        <w:pStyle w:val="Heading21"/>
      </w:pPr>
      <w:bookmarkStart w:id="6" w:name="_Toc198818588"/>
      <w:r>
        <w:t>What is the SFI?</w:t>
      </w:r>
      <w:bookmarkEnd w:id="6"/>
    </w:p>
    <w:p w14:paraId="3363F8C0" w14:textId="5BCFE7F1" w:rsidR="00E97A2A" w:rsidRDefault="00E97A2A" w:rsidP="0043415D">
      <w:r>
        <w:t>The Self-Funded Incentive (SFI) is a contract mechanism which will be used to incentivise SCDP contract performance.</w:t>
      </w:r>
      <w:r w:rsidDel="007C4F61">
        <w:t xml:space="preserve"> </w:t>
      </w:r>
      <w:r>
        <w:t xml:space="preserve">The value of the SFI will be </w:t>
      </w:r>
      <w:r>
        <w:rPr>
          <w:b/>
        </w:rPr>
        <w:t>10%</w:t>
      </w:r>
      <w:r>
        <w:t xml:space="preserve"> of all applications for payment, subject to specific exclusions.  </w:t>
      </w:r>
    </w:p>
    <w:p w14:paraId="3DCDEC9C" w14:textId="02D57B35" w:rsidR="003F0AA3" w:rsidRDefault="00BC64AE" w:rsidP="00BC64AE">
      <w:pPr>
        <w:pStyle w:val="Heading21"/>
      </w:pPr>
      <w:bookmarkStart w:id="7" w:name="_Toc198818589"/>
      <w:r w:rsidRPr="00BC64AE">
        <w:t>Which factors will determine the SFI performance calculation?</w:t>
      </w:r>
      <w:bookmarkEnd w:id="7"/>
    </w:p>
    <w:p w14:paraId="4B83BD70" w14:textId="77777777" w:rsidR="00913A8D" w:rsidRPr="00913A8D" w:rsidRDefault="00913A8D" w:rsidP="00913A8D">
      <w:pPr>
        <w:rPr>
          <w:rFonts w:eastAsia="Arial" w:cs="Arial"/>
          <w:szCs w:val="22"/>
          <w:lang w:eastAsia="en-GB"/>
        </w:rPr>
      </w:pPr>
      <w:r w:rsidRPr="00913A8D">
        <w:rPr>
          <w:rFonts w:eastAsia="Arial" w:cs="Arial"/>
          <w:szCs w:val="22"/>
          <w:lang w:eastAsia="en-GB"/>
        </w:rPr>
        <w:t xml:space="preserve">Three components will be measured and will form the basis of the SFI mechanism:   </w:t>
      </w:r>
    </w:p>
    <w:p w14:paraId="180754E5" w14:textId="77777777" w:rsidR="00913A8D" w:rsidRPr="00913A8D" w:rsidRDefault="00913A8D" w:rsidP="00913A8D">
      <w:pPr>
        <w:numPr>
          <w:ilvl w:val="0"/>
          <w:numId w:val="23"/>
        </w:numPr>
        <w:rPr>
          <w:rFonts w:eastAsia="Arial" w:cs="Arial"/>
          <w:szCs w:val="22"/>
          <w:lang w:eastAsia="en-GB"/>
        </w:rPr>
      </w:pPr>
      <w:r w:rsidRPr="00913A8D">
        <w:rPr>
          <w:rFonts w:eastAsia="Arial" w:cs="Arial"/>
          <w:b/>
          <w:szCs w:val="22"/>
          <w:lang w:eastAsia="en-GB"/>
        </w:rPr>
        <w:t>A ‘Performance KPI' (25% of the SFI = 2.5% withheld value):</w:t>
      </w:r>
      <w:r w:rsidRPr="00913A8D">
        <w:rPr>
          <w:rFonts w:eastAsia="Arial" w:cs="Arial"/>
          <w:szCs w:val="22"/>
          <w:lang w:eastAsia="en-GB"/>
        </w:rPr>
        <w:t xml:space="preserve"> The Performance KPI will provide an aggregated view of multiple SFI Task Level Indicators (SFI TLIs) covering:</w:t>
      </w:r>
      <w:r w:rsidRPr="00913A8D">
        <w:rPr>
          <w:rFonts w:eastAsia="Arial" w:cs="Arial"/>
          <w:szCs w:val="22"/>
          <w:highlight w:val="white"/>
          <w:lang w:eastAsia="en-GB"/>
        </w:rPr>
        <w:t xml:space="preserve"> </w:t>
      </w:r>
      <w:r w:rsidRPr="00913A8D">
        <w:rPr>
          <w:rFonts w:eastAsia="Arial" w:cs="Arial"/>
          <w:szCs w:val="22"/>
          <w:lang w:eastAsia="en-GB"/>
        </w:rPr>
        <w:t>Quality, Cost, Time, Health &amp; Safety, Security, and Environment.</w:t>
      </w:r>
    </w:p>
    <w:p w14:paraId="6C509B8C" w14:textId="77777777" w:rsidR="00913A8D" w:rsidRPr="00913A8D" w:rsidRDefault="00913A8D" w:rsidP="00913A8D">
      <w:pPr>
        <w:numPr>
          <w:ilvl w:val="0"/>
          <w:numId w:val="23"/>
        </w:numPr>
        <w:rPr>
          <w:rFonts w:eastAsia="Arial" w:cs="Arial"/>
          <w:szCs w:val="22"/>
          <w:lang w:eastAsia="en-GB"/>
        </w:rPr>
      </w:pPr>
      <w:r w:rsidRPr="00913A8D">
        <w:rPr>
          <w:rFonts w:eastAsia="Arial" w:cs="Arial"/>
          <w:b/>
          <w:szCs w:val="22"/>
          <w:lang w:eastAsia="en-GB"/>
        </w:rPr>
        <w:t xml:space="preserve">Social Value &amp; Sustainability KPI (25% of the SFI = 2.5% withheld value): </w:t>
      </w:r>
      <w:r w:rsidRPr="00913A8D">
        <w:rPr>
          <w:rFonts w:eastAsia="Arial" w:cs="Arial"/>
          <w:szCs w:val="22"/>
          <w:lang w:eastAsia="en-GB"/>
        </w:rPr>
        <w:t>KPI which measures the delivery of agreed Social Value &amp; Sustainability commitments.</w:t>
      </w:r>
    </w:p>
    <w:p w14:paraId="0FC3263A" w14:textId="6B6C3933" w:rsidR="003F0AA3" w:rsidRDefault="00913A8D" w:rsidP="00484951">
      <w:pPr>
        <w:numPr>
          <w:ilvl w:val="0"/>
          <w:numId w:val="23"/>
        </w:numPr>
      </w:pPr>
      <w:r w:rsidRPr="00913A8D">
        <w:rPr>
          <w:rFonts w:eastAsia="Arial" w:cs="Arial"/>
          <w:b/>
          <w:szCs w:val="22"/>
          <w:lang w:eastAsia="en-GB"/>
        </w:rPr>
        <w:t>Milestone performance (50% of the SFI = 5% withheld value):</w:t>
      </w:r>
      <w:r w:rsidRPr="00913A8D">
        <w:rPr>
          <w:rFonts w:eastAsia="Arial" w:cs="Arial"/>
          <w:szCs w:val="22"/>
          <w:lang w:eastAsia="en-GB"/>
        </w:rPr>
        <w:t xml:space="preserve"> Measures the on-time delivery of Milestones e.g. geotechnical report completion.</w:t>
      </w:r>
    </w:p>
    <w:p w14:paraId="1C1C823B" w14:textId="3F6573FC" w:rsidR="00BC64AE" w:rsidRDefault="007B2549" w:rsidP="009B5616">
      <w:r w:rsidRPr="009B5616">
        <w:rPr>
          <w:noProof/>
        </w:rPr>
        <w:drawing>
          <wp:inline distT="114300" distB="114300" distL="114300" distR="114300" wp14:anchorId="321F6151" wp14:editId="75E977CD">
            <wp:extent cx="5939480" cy="2095500"/>
            <wp:effectExtent l="0" t="0" r="0" b="0"/>
            <wp:docPr id="7" name="image4.png" descr="A diagram of a pie chart&#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4.png" descr="A diagram of a pie chart&#10;&#10;AI-generated content may be incorrect."/>
                    <pic:cNvPicPr preferRelativeResize="0"/>
                  </pic:nvPicPr>
                  <pic:blipFill>
                    <a:blip r:embed="rId19"/>
                    <a:srcRect/>
                    <a:stretch>
                      <a:fillRect/>
                    </a:stretch>
                  </pic:blipFill>
                  <pic:spPr>
                    <a:xfrm>
                      <a:off x="0" y="0"/>
                      <a:ext cx="5939480" cy="2095500"/>
                    </a:xfrm>
                    <a:prstGeom prst="rect">
                      <a:avLst/>
                    </a:prstGeom>
                    <a:ln/>
                  </pic:spPr>
                </pic:pic>
              </a:graphicData>
            </a:graphic>
          </wp:inline>
        </w:drawing>
      </w:r>
    </w:p>
    <w:p w14:paraId="48EB6777" w14:textId="2496F674" w:rsidR="00BC64AE" w:rsidRDefault="00216203" w:rsidP="00216203">
      <w:pPr>
        <w:pStyle w:val="Caption"/>
      </w:pPr>
      <w:bookmarkStart w:id="8" w:name="_Toc198818626"/>
      <w:r>
        <w:t xml:space="preserve">Figure </w:t>
      </w:r>
      <w:r>
        <w:fldChar w:fldCharType="begin"/>
      </w:r>
      <w:r>
        <w:instrText xml:space="preserve"> SEQ Figure \* ARABIC </w:instrText>
      </w:r>
      <w:r>
        <w:fldChar w:fldCharType="separate"/>
      </w:r>
      <w:r w:rsidR="00F033CC">
        <w:rPr>
          <w:noProof/>
        </w:rPr>
        <w:t>1</w:t>
      </w:r>
      <w:r>
        <w:fldChar w:fldCharType="end"/>
      </w:r>
      <w:r>
        <w:t xml:space="preserve">: </w:t>
      </w:r>
      <w:r w:rsidR="00947D4E">
        <w:t xml:space="preserve">Illustration of SFI </w:t>
      </w:r>
      <w:r w:rsidR="009638BA">
        <w:t>retention</w:t>
      </w:r>
      <w:bookmarkEnd w:id="8"/>
    </w:p>
    <w:p w14:paraId="43901109" w14:textId="77777777" w:rsidR="00C36FED" w:rsidRPr="00C36FED" w:rsidRDefault="00C36FED" w:rsidP="00C36FED">
      <w:pPr>
        <w:rPr>
          <w:rFonts w:eastAsia="Arial"/>
          <w:lang w:eastAsia="en-GB"/>
        </w:rPr>
      </w:pPr>
      <w:r w:rsidRPr="00C36FED">
        <w:rPr>
          <w:rFonts w:eastAsia="Arial"/>
          <w:lang w:eastAsia="en-GB"/>
        </w:rPr>
        <w:t xml:space="preserve">The approach to each of the components is also described in turn throughout the course of this document. A worked example of the Performance SFI TLI and summary of the SFI components is provided in </w:t>
      </w:r>
      <w:r w:rsidRPr="00C36FED">
        <w:rPr>
          <w:rFonts w:eastAsia="Arial"/>
          <w:b/>
          <w:lang w:eastAsia="en-GB"/>
        </w:rPr>
        <w:t xml:space="preserve">Appendix A: Scenario Example </w:t>
      </w:r>
      <w:r w:rsidRPr="00C36FED">
        <w:rPr>
          <w:rFonts w:eastAsia="Arial"/>
          <w:bCs/>
          <w:lang w:eastAsia="en-GB"/>
        </w:rPr>
        <w:t>and</w:t>
      </w:r>
      <w:r w:rsidRPr="00C36FED">
        <w:rPr>
          <w:rFonts w:eastAsia="Arial"/>
          <w:b/>
          <w:lang w:eastAsia="en-GB"/>
        </w:rPr>
        <w:t xml:space="preserve"> Appendix B: Summary of the SFI Balanced Scorecard &amp; Performance Measures</w:t>
      </w:r>
      <w:r w:rsidRPr="00C36FED">
        <w:rPr>
          <w:rFonts w:eastAsia="Arial"/>
          <w:bCs/>
          <w:lang w:eastAsia="en-GB"/>
        </w:rPr>
        <w:t>, respectively</w:t>
      </w:r>
      <w:r w:rsidRPr="00C36FED">
        <w:rPr>
          <w:rFonts w:eastAsia="Arial"/>
          <w:lang w:eastAsia="en-GB"/>
        </w:rPr>
        <w:t xml:space="preserve">. </w:t>
      </w:r>
    </w:p>
    <w:p w14:paraId="39D66F72" w14:textId="77777777" w:rsidR="00BC64AE" w:rsidRDefault="00BC64AE" w:rsidP="0043415D"/>
    <w:p w14:paraId="6125887D" w14:textId="77777777" w:rsidR="008A5E73" w:rsidRPr="008A5E73" w:rsidRDefault="008A5E73" w:rsidP="008A5E73"/>
    <w:p w14:paraId="5CE203F3" w14:textId="5EA96D80" w:rsidR="004851BA" w:rsidRDefault="00CA5C04" w:rsidP="00CA5C04">
      <w:pPr>
        <w:pStyle w:val="Heading11"/>
      </w:pPr>
      <w:bookmarkStart w:id="9" w:name="_Toc198818590"/>
      <w:r w:rsidRPr="00CA5C04">
        <w:lastRenderedPageBreak/>
        <w:t>Funding and applicability of the SFI</w:t>
      </w:r>
      <w:bookmarkEnd w:id="9"/>
    </w:p>
    <w:p w14:paraId="70D2648E" w14:textId="2FCA34A9" w:rsidR="00025928" w:rsidRDefault="00894444" w:rsidP="00894444">
      <w:pPr>
        <w:pStyle w:val="Heading21"/>
      </w:pPr>
      <w:bookmarkStart w:id="10" w:name="_Toc198818591"/>
      <w:r w:rsidRPr="00894444">
        <w:t>How will the funding work for the SFI?</w:t>
      </w:r>
      <w:bookmarkEnd w:id="10"/>
    </w:p>
    <w:p w14:paraId="7FABF673" w14:textId="77777777" w:rsidR="00CD29E9" w:rsidRDefault="00CD29E9" w:rsidP="00CD29E9">
      <w:r>
        <w:t xml:space="preserve">For each Task Order commissioned under the Contract (other than Task 0) the Authority will withhold 10% of each application for payment for that Task Order, forming the SFI Retention. Further detail on the applicability to invoice components is outlined below. </w:t>
      </w:r>
    </w:p>
    <w:p w14:paraId="2F35F390" w14:textId="77777777" w:rsidR="00CD29E9" w:rsidRDefault="00CD29E9" w:rsidP="00CD29E9">
      <w:r>
        <w:t xml:space="preserve">The SFI Retention made by the Authority will comprise three 'pools', one for each of: the Performance (SFI) KPI, Social Value &amp; Sustainability KPI and Milestones. The cumulative total of the retentions held in respect of the Performance (SFI) KPI and Social Value KPI will be retained until the end of the year when a calculation will be made to determine the amount of withheld funds to be disbursed to the SCDP. Retentions held in respect of Milestones will be released upon achievement of the relevant Milestones. </w:t>
      </w:r>
    </w:p>
    <w:p w14:paraId="0063D622" w14:textId="417E7D51" w:rsidR="00CD29E9" w:rsidRDefault="00CD29E9" w:rsidP="00CD29E9">
      <w:r>
        <w:t>The SFI Retention will start from the Contract commencement date and will apply to all years of the contract. The Performance (SFI) and Social Value &amp; Sustainability KPI will run on an annual basis from 1st April to 31st March. For the first year the applicable period will run between the date of entry into the Contract and 31st March, and for the final year of the Contract the applicable period will run between 1st April and the contract Completion Date.</w:t>
      </w:r>
    </w:p>
    <w:p w14:paraId="40FB6FE7" w14:textId="7945B55F" w:rsidR="00F22775" w:rsidRDefault="00CD29E9" w:rsidP="00A17C2C">
      <w:r>
        <w:t>The Milestone element of the SFI Retention shall be independent of the calendar and/or financial year and shall operate against the full duration of the individual Task Order.</w:t>
      </w:r>
    </w:p>
    <w:p w14:paraId="664148D8" w14:textId="4A159E62" w:rsidR="00113531" w:rsidRDefault="00900EE0" w:rsidP="00900EE0">
      <w:pPr>
        <w:pStyle w:val="Heading21"/>
      </w:pPr>
      <w:bookmarkStart w:id="11" w:name="_Toc198818592"/>
      <w:r w:rsidRPr="00900EE0">
        <w:t>Which costs is the SFI Retention applicable to?</w:t>
      </w:r>
      <w:bookmarkEnd w:id="11"/>
    </w:p>
    <w:p w14:paraId="68346120" w14:textId="4D1C18E2" w:rsidR="00900EE0" w:rsidRDefault="00877A6F" w:rsidP="00A17C2C">
      <w:r w:rsidRPr="00877A6F">
        <w:t>The SFI will be deducted from individual Task Order applications for payment as follows:</w:t>
      </w:r>
    </w:p>
    <w:p w14:paraId="3C2125E7" w14:textId="36975EA2" w:rsidR="00562D61" w:rsidRDefault="00562D61" w:rsidP="00877C8F">
      <w:pPr>
        <w:pStyle w:val="ListParagraph"/>
        <w:numPr>
          <w:ilvl w:val="0"/>
          <w:numId w:val="24"/>
        </w:numPr>
        <w:ind w:hanging="357"/>
        <w:contextualSpacing w:val="0"/>
      </w:pPr>
      <w:r w:rsidRPr="00562D61">
        <w:rPr>
          <w:b/>
          <w:bCs/>
        </w:rPr>
        <w:t>Will be</w:t>
      </w:r>
      <w:r>
        <w:t xml:space="preserve"> deducted from all applications for payment except those amounts set out below:</w:t>
      </w:r>
    </w:p>
    <w:p w14:paraId="70883E6D" w14:textId="638B5DC6" w:rsidR="00900EE0" w:rsidRDefault="00562D61" w:rsidP="00877C8F">
      <w:pPr>
        <w:pStyle w:val="ListParagraph"/>
        <w:numPr>
          <w:ilvl w:val="0"/>
          <w:numId w:val="24"/>
        </w:numPr>
        <w:ind w:hanging="357"/>
        <w:contextualSpacing w:val="0"/>
      </w:pPr>
      <w:r w:rsidRPr="00562D61">
        <w:rPr>
          <w:b/>
          <w:bCs/>
        </w:rPr>
        <w:t>Will not</w:t>
      </w:r>
      <w:r>
        <w:t xml:space="preserve"> be applicable to:</w:t>
      </w:r>
    </w:p>
    <w:p w14:paraId="1E0D77C2" w14:textId="6C8B141C" w:rsidR="00877C8F" w:rsidRDefault="00877C8F" w:rsidP="00877C8F">
      <w:pPr>
        <w:pStyle w:val="ListParagraph"/>
        <w:numPr>
          <w:ilvl w:val="1"/>
          <w:numId w:val="24"/>
        </w:numPr>
        <w:ind w:left="1134" w:hanging="357"/>
        <w:contextualSpacing w:val="0"/>
      </w:pPr>
      <w:r>
        <w:t>Task Order 0</w:t>
      </w:r>
      <w:r w:rsidR="00A90A07">
        <w:t>:</w:t>
      </w:r>
    </w:p>
    <w:p w14:paraId="05B81004" w14:textId="2A36F3CE" w:rsidR="00877C8F" w:rsidRDefault="00877C8F" w:rsidP="00877C8F">
      <w:pPr>
        <w:pStyle w:val="ListParagraph"/>
        <w:numPr>
          <w:ilvl w:val="1"/>
          <w:numId w:val="24"/>
        </w:numPr>
        <w:ind w:left="1134" w:hanging="357"/>
        <w:contextualSpacing w:val="0"/>
      </w:pPr>
      <w:r>
        <w:t>Level 2 (Collaboration Joint Milestones) &amp; 3 (Saving Share) incentive payments:</w:t>
      </w:r>
    </w:p>
    <w:p w14:paraId="014B2852" w14:textId="1933FC15" w:rsidR="00877C8F" w:rsidRDefault="00877C8F" w:rsidP="00877C8F">
      <w:pPr>
        <w:pStyle w:val="ListParagraph"/>
        <w:numPr>
          <w:ilvl w:val="1"/>
          <w:numId w:val="24"/>
        </w:numPr>
        <w:ind w:left="1134" w:hanging="357"/>
        <w:contextualSpacing w:val="0"/>
      </w:pPr>
      <w:r>
        <w:t>routine expenses (e.g. authorised travel, accommodation, subsistence); or</w:t>
      </w:r>
    </w:p>
    <w:p w14:paraId="637829EA" w14:textId="7A5A67B9" w:rsidR="00562D61" w:rsidRDefault="00877C8F" w:rsidP="00877C8F">
      <w:pPr>
        <w:pStyle w:val="ListParagraph"/>
        <w:numPr>
          <w:ilvl w:val="1"/>
          <w:numId w:val="24"/>
        </w:numPr>
        <w:ind w:left="1134" w:hanging="357"/>
        <w:contextualSpacing w:val="0"/>
      </w:pPr>
      <w:r>
        <w:t>expenses identified by the Authority as a Task Order-specific expense (e.g. licences or equipment).</w:t>
      </w:r>
    </w:p>
    <w:p w14:paraId="6C420C31" w14:textId="77777777" w:rsidR="00B05FF9" w:rsidRPr="00B05FF9" w:rsidRDefault="00B05FF9" w:rsidP="009B05B6">
      <w:pPr>
        <w:pStyle w:val="Heading21"/>
        <w:rPr>
          <w:rFonts w:eastAsia="Arial"/>
          <w:lang w:eastAsia="en-GB"/>
        </w:rPr>
      </w:pPr>
      <w:bookmarkStart w:id="12" w:name="_Toc198818593"/>
      <w:r w:rsidRPr="00B05FF9">
        <w:rPr>
          <w:rFonts w:eastAsia="Arial"/>
          <w:lang w:eastAsia="en-GB"/>
        </w:rPr>
        <w:t>Application of SFI Retention to Task Order 0</w:t>
      </w:r>
      <w:bookmarkEnd w:id="12"/>
    </w:p>
    <w:p w14:paraId="1B8D80A6" w14:textId="35F34FAE" w:rsidR="007C5A73" w:rsidRDefault="007C5A73" w:rsidP="007C5A73">
      <w:pPr>
        <w:pStyle w:val="ListParagraph"/>
        <w:numPr>
          <w:ilvl w:val="0"/>
          <w:numId w:val="24"/>
        </w:numPr>
        <w:ind w:hanging="357"/>
        <w:contextualSpacing w:val="0"/>
      </w:pPr>
      <w:r>
        <w:t>SFI will not apply to Task 0.</w:t>
      </w:r>
    </w:p>
    <w:p w14:paraId="00E2A83A" w14:textId="52448D18" w:rsidR="00900EE0" w:rsidRDefault="007C5A73" w:rsidP="007C5A73">
      <w:pPr>
        <w:pStyle w:val="ListParagraph"/>
        <w:numPr>
          <w:ilvl w:val="0"/>
          <w:numId w:val="24"/>
        </w:numPr>
        <w:ind w:hanging="357"/>
        <w:contextualSpacing w:val="0"/>
      </w:pPr>
      <w:r>
        <w:t xml:space="preserve">However, for clarity, if a Key Person assigned to Task 0 is working on another specific Task Order that time spent on that other specific Task Order will be costed and billed to that other specific Task Order and that time cost </w:t>
      </w:r>
      <w:r w:rsidRPr="007C5A73">
        <w:rPr>
          <w:b/>
          <w:bCs/>
        </w:rPr>
        <w:t>will</w:t>
      </w:r>
      <w:r>
        <w:t xml:space="preserve"> be subject to retention.</w:t>
      </w:r>
    </w:p>
    <w:p w14:paraId="0B389164" w14:textId="6C70207D" w:rsidR="002F5346" w:rsidRPr="002F5346" w:rsidRDefault="002F5346" w:rsidP="009B05B6">
      <w:pPr>
        <w:pStyle w:val="Heading11"/>
        <w:rPr>
          <w:rFonts w:eastAsia="Arial"/>
          <w:lang w:eastAsia="en-GB"/>
        </w:rPr>
      </w:pPr>
      <w:bookmarkStart w:id="13" w:name="_Toc198818594"/>
      <w:r w:rsidRPr="002F5346">
        <w:rPr>
          <w:rFonts w:eastAsia="Arial"/>
          <w:lang w:eastAsia="en-GB"/>
        </w:rPr>
        <w:lastRenderedPageBreak/>
        <w:t>Management of performance</w:t>
      </w:r>
      <w:bookmarkEnd w:id="13"/>
    </w:p>
    <w:p w14:paraId="3954C467" w14:textId="77777777" w:rsidR="00403C6D" w:rsidRDefault="00403C6D" w:rsidP="00403C6D">
      <w:pPr>
        <w:pStyle w:val="Heading21"/>
      </w:pPr>
      <w:bookmarkStart w:id="14" w:name="_Toc198818595"/>
      <w:r>
        <w:t>Determining SFI performance</w:t>
      </w:r>
      <w:bookmarkEnd w:id="14"/>
    </w:p>
    <w:p w14:paraId="42A14DB7" w14:textId="03FF692E" w:rsidR="002F5FB6" w:rsidRDefault="00403C6D" w:rsidP="00403C6D">
      <w:r>
        <w:t>To measure performance and apply the SFI mechanism, metrics and/or thresholds will be applied to the Performance (SFI) KPI, Social Value &amp; Sustainability KPI, and Milestones.</w:t>
      </w:r>
    </w:p>
    <w:p w14:paraId="0B491493" w14:textId="77777777" w:rsidR="005F4CCA" w:rsidRDefault="005F4CCA" w:rsidP="005F4CCA">
      <w:pPr>
        <w:pStyle w:val="Heading31"/>
      </w:pPr>
      <w:bookmarkStart w:id="15" w:name="_Toc198818596"/>
      <w:r>
        <w:t>How will the SFI reporting operate?</w:t>
      </w:r>
      <w:bookmarkEnd w:id="15"/>
    </w:p>
    <w:p w14:paraId="0DA7004E" w14:textId="77777777" w:rsidR="005F4CCA" w:rsidRDefault="005F4CCA" w:rsidP="005F4CCA">
      <w:r>
        <w:t>Each month SCDP performance will be reported on by the SCDP and reviewed by the Authority against the Performance (SFI) KPI, Social Value &amp; Sustainability KPI and Milestones. This will be undertaken during regular monthly and quarterly progress meetings using cost, progress and schedule reports prepared by the SCDP under the Contract.</w:t>
      </w:r>
    </w:p>
    <w:p w14:paraId="1637A476" w14:textId="77777777" w:rsidR="005F4CCA" w:rsidRDefault="005F4CCA" w:rsidP="005F4CCA">
      <w:r>
        <w:t xml:space="preserve">The SCDP will be required to report on various aspects of performance within each of the three SFI components in a monthly report:  </w:t>
      </w:r>
    </w:p>
    <w:p w14:paraId="63038101" w14:textId="49ABCBAD" w:rsidR="005F4CCA" w:rsidRDefault="005F4CCA" w:rsidP="005F4CCA">
      <w:r w:rsidRPr="23FEE6CD">
        <w:rPr>
          <w:b/>
          <w:bCs/>
        </w:rPr>
        <w:t>Performance (SFI) KPI (TLI reporting):</w:t>
      </w:r>
      <w:r>
        <w:t xml:space="preserve"> </w:t>
      </w:r>
      <w:r w:rsidR="4BF92A69">
        <w:t>The Performance (SFI) KPI c</w:t>
      </w:r>
      <w:r w:rsidR="23FEE6CD">
        <w:t xml:space="preserve">onsists of a suite of performance-based metrics comprising the SFI Task Level Indicators Quality, Cost, Time, Health &amp; Safety, Security, and Environment. </w:t>
      </w:r>
      <w:r w:rsidR="43D5FD15">
        <w:t>See Section 4.2.</w:t>
      </w:r>
    </w:p>
    <w:p w14:paraId="6FACF1D8" w14:textId="0F9CBDCA" w:rsidR="005F4CCA" w:rsidRDefault="74C1BD18" w:rsidP="005F4CCA">
      <w:r>
        <w:t>P</w:t>
      </w:r>
      <w:r w:rsidR="005F4CCA">
        <w:t>erformance against individual SFI TLI categories to determine an applicable score. Monthly scores will be assigned by the Authority for each live Task Order based upon identified SFI TLI scoring criteria.</w:t>
      </w:r>
    </w:p>
    <w:p w14:paraId="320D2BA3" w14:textId="46661564" w:rsidR="005F4CCA" w:rsidRDefault="005F4CCA" w:rsidP="005F4CCA">
      <w:r w:rsidRPr="23FEE6CD">
        <w:rPr>
          <w:b/>
          <w:bCs/>
        </w:rPr>
        <w:t>Social Value KPI reporting:</w:t>
      </w:r>
      <w:r>
        <w:t xml:space="preserve"> </w:t>
      </w:r>
      <w:r w:rsidR="5994A974">
        <w:t>The Social Value</w:t>
      </w:r>
      <w:r w:rsidR="0E2057DE">
        <w:t xml:space="preserve"> KPI is a </w:t>
      </w:r>
      <w:r w:rsidR="5994A974">
        <w:t>suite of metrics associated with the SCDP's delivery of its Social Value &amp; Sustainability commitments.</w:t>
      </w:r>
      <w:r w:rsidR="05E2A3DF">
        <w:t xml:space="preserve"> See Section 4.5.</w:t>
      </w:r>
    </w:p>
    <w:p w14:paraId="61A81EAD" w14:textId="0EF456A5" w:rsidR="005F4CCA" w:rsidRDefault="005F4CCA" w:rsidP="23FEE6CD">
      <w:r>
        <w:t xml:space="preserve">Reporting will be required from the SCDP monthly to identify performance against social value delivery commitments. KPI scores will be applied on a quarterly and End of Year basis. </w:t>
      </w:r>
    </w:p>
    <w:p w14:paraId="6127F370" w14:textId="6E7B5408" w:rsidR="002F5346" w:rsidRDefault="005F4CCA" w:rsidP="005F4CCA">
      <w:r w:rsidRPr="23FEE6CD">
        <w:rPr>
          <w:b/>
          <w:bCs/>
        </w:rPr>
        <w:t>Milestone reporting:</w:t>
      </w:r>
      <w:r>
        <w:t xml:space="preserve"> </w:t>
      </w:r>
      <w:r w:rsidR="03626ACE">
        <w:t>These are the required activity completion deadlines which are to be set within each individual Task Order (e.g. delivery of a report, completion of a design).</w:t>
      </w:r>
      <w:r w:rsidR="5E6C7E10">
        <w:t xml:space="preserve">See </w:t>
      </w:r>
      <w:r w:rsidR="00EF36EC">
        <w:t>Section</w:t>
      </w:r>
      <w:r w:rsidR="5E6C7E10">
        <w:t xml:space="preserve"> 4.6.</w:t>
      </w:r>
    </w:p>
    <w:p w14:paraId="42C902EB" w14:textId="20FF945E" w:rsidR="002F5346" w:rsidRDefault="005F4CCA" w:rsidP="23FEE6CD">
      <w:r>
        <w:t xml:space="preserve">Reporting required from the SCDP monthly to identify progress against planned milestones, with application of the SFI determined on delivery of the relevant Milestone.  The SCDP will be assessed on whether a Milestone has been delivered to the required quality standard, by the agreed date. Diminishing SFI returns will apply for late delivery.  </w:t>
      </w:r>
    </w:p>
    <w:p w14:paraId="1F40F44D" w14:textId="77777777" w:rsidR="005D4274" w:rsidRDefault="005D4274" w:rsidP="005D4274">
      <w:pPr>
        <w:pStyle w:val="Heading21"/>
      </w:pPr>
      <w:bookmarkStart w:id="16" w:name="_Toc198818597"/>
      <w:r>
        <w:t>The Performance SFI KPI</w:t>
      </w:r>
      <w:bookmarkEnd w:id="16"/>
      <w:r>
        <w:t xml:space="preserve"> </w:t>
      </w:r>
    </w:p>
    <w:p w14:paraId="19E8F78E" w14:textId="77777777" w:rsidR="005D4274" w:rsidRDefault="005D4274" w:rsidP="005D4274">
      <w:pPr>
        <w:pStyle w:val="Heading31"/>
      </w:pPr>
      <w:bookmarkStart w:id="17" w:name="_Toc198818598"/>
      <w:r>
        <w:t>What are Task Level Indicators (TLIs)?</w:t>
      </w:r>
      <w:bookmarkEnd w:id="17"/>
      <w:r>
        <w:t xml:space="preserve"> </w:t>
      </w:r>
    </w:p>
    <w:p w14:paraId="196DC44D" w14:textId="77777777" w:rsidR="005D4274" w:rsidRDefault="005D4274" w:rsidP="005D4274">
      <w:r>
        <w:t xml:space="preserve">TLIs are metrics which are used to measure SCDP performance on a Task Order. TLIs can either be for the purposes of the SFI (determining SFI payout, being the SFI TLIs) or non-SFI performance (being the Non-SFI TLIs). </w:t>
      </w:r>
    </w:p>
    <w:p w14:paraId="36CFBF7C" w14:textId="77777777" w:rsidR="00292A2E" w:rsidRDefault="005D4274" w:rsidP="005D4274">
      <w:r>
        <w:t xml:space="preserve">SFI TLIs are all grouped into, and inform the scoring of, the Performance SFI KPI and are identified below. Each SFI TLI has defined scoring criteria which determines which RAG score is assigned. Please see the Performance Metrics spreadsheet for further details. </w:t>
      </w:r>
    </w:p>
    <w:p w14:paraId="56DADCA8" w14:textId="01337831" w:rsidR="005D4274" w:rsidRPr="00946187" w:rsidRDefault="00C578D2" w:rsidP="00946187">
      <w:pPr>
        <w:rPr>
          <w:szCs w:val="22"/>
        </w:rPr>
      </w:pPr>
      <w:r w:rsidRPr="00946187">
        <w:rPr>
          <w:szCs w:val="22"/>
        </w:rPr>
        <w:t xml:space="preserve">It is possible that not all TLIs will be applied to Task Orders if the Authority deems that they are not relevant to the nature of the services – see FAQs for the approach to normalising scores where less than 10 TLIs apply.  </w:t>
      </w:r>
    </w:p>
    <w:p w14:paraId="0955AD78" w14:textId="76812AA2" w:rsidR="005D4274" w:rsidRDefault="008A094D" w:rsidP="008A094D">
      <w:pPr>
        <w:pStyle w:val="Heading31"/>
      </w:pPr>
      <w:bookmarkStart w:id="18" w:name="_Toc198818599"/>
      <w:r w:rsidRPr="008A094D">
        <w:t>How will the Performance (SFI) KPI be scored?</w:t>
      </w:r>
      <w:bookmarkEnd w:id="18"/>
    </w:p>
    <w:p w14:paraId="7CB33731" w14:textId="77777777" w:rsidR="00D5678A" w:rsidRDefault="00D5678A" w:rsidP="00D5678A">
      <w:r>
        <w:t>The Performance (SFI) KPI will be scored based upon TLI performance:</w:t>
      </w:r>
    </w:p>
    <w:p w14:paraId="02595E19" w14:textId="1FFD4F22" w:rsidR="00D5678A" w:rsidRDefault="00D5678A" w:rsidP="00D5678A">
      <w:pPr>
        <w:pStyle w:val="ListParagraph"/>
        <w:numPr>
          <w:ilvl w:val="0"/>
          <w:numId w:val="25"/>
        </w:numPr>
        <w:ind w:hanging="357"/>
        <w:contextualSpacing w:val="0"/>
      </w:pPr>
      <w:r>
        <w:lastRenderedPageBreak/>
        <w:t>Individual SFI TLIs will be scored monthly (in respect of each individual "live" Task Order in the relevant month) using defined criteria on a Red, Amber, Green (RAG) scale. Each RAG classification will have an associated points score for the SFI TLI:</w:t>
      </w:r>
    </w:p>
    <w:p w14:paraId="397B8BF8" w14:textId="6143819C" w:rsidR="00D5678A" w:rsidRDefault="00D5678A" w:rsidP="00D5678A">
      <w:pPr>
        <w:pStyle w:val="ListParagraph"/>
        <w:numPr>
          <w:ilvl w:val="1"/>
          <w:numId w:val="25"/>
        </w:numPr>
        <w:ind w:hanging="357"/>
        <w:contextualSpacing w:val="0"/>
      </w:pPr>
      <w:r>
        <w:t>Green – 30 points</w:t>
      </w:r>
    </w:p>
    <w:p w14:paraId="53B58D59" w14:textId="4C845E5B" w:rsidR="00D5678A" w:rsidRDefault="00D5678A" w:rsidP="00D5678A">
      <w:pPr>
        <w:pStyle w:val="ListParagraph"/>
        <w:numPr>
          <w:ilvl w:val="1"/>
          <w:numId w:val="25"/>
        </w:numPr>
        <w:ind w:hanging="357"/>
        <w:contextualSpacing w:val="0"/>
      </w:pPr>
      <w:r>
        <w:t>High Amber - 20 points (where applicable)</w:t>
      </w:r>
    </w:p>
    <w:p w14:paraId="76FC8185" w14:textId="504271F8" w:rsidR="00D5678A" w:rsidRDefault="00D5678A" w:rsidP="00D5678A">
      <w:pPr>
        <w:pStyle w:val="ListParagraph"/>
        <w:numPr>
          <w:ilvl w:val="1"/>
          <w:numId w:val="25"/>
        </w:numPr>
        <w:ind w:hanging="357"/>
        <w:contextualSpacing w:val="0"/>
      </w:pPr>
      <w:r>
        <w:t>Amber – 15 points</w:t>
      </w:r>
    </w:p>
    <w:p w14:paraId="5001C4A0" w14:textId="4ABE62FA" w:rsidR="00D5678A" w:rsidRDefault="00D5678A" w:rsidP="00D5678A">
      <w:pPr>
        <w:pStyle w:val="ListParagraph"/>
        <w:numPr>
          <w:ilvl w:val="1"/>
          <w:numId w:val="25"/>
        </w:numPr>
        <w:ind w:hanging="357"/>
        <w:contextualSpacing w:val="0"/>
      </w:pPr>
      <w:r>
        <w:t>Low Amber – 10 points (where applicable)</w:t>
      </w:r>
    </w:p>
    <w:p w14:paraId="6EE10AF5" w14:textId="50B1E099" w:rsidR="00D5678A" w:rsidRDefault="00D5678A" w:rsidP="00D5678A">
      <w:pPr>
        <w:pStyle w:val="ListParagraph"/>
        <w:numPr>
          <w:ilvl w:val="1"/>
          <w:numId w:val="25"/>
        </w:numPr>
        <w:ind w:hanging="357"/>
        <w:contextualSpacing w:val="0"/>
      </w:pPr>
      <w:r>
        <w:t>Red – 0 points</w:t>
      </w:r>
    </w:p>
    <w:p w14:paraId="06AEB496" w14:textId="1AA942CC" w:rsidR="00D5678A" w:rsidRDefault="00D5678A" w:rsidP="00D5678A">
      <w:pPr>
        <w:pStyle w:val="ListParagraph"/>
        <w:numPr>
          <w:ilvl w:val="0"/>
          <w:numId w:val="25"/>
        </w:numPr>
        <w:ind w:hanging="357"/>
        <w:contextualSpacing w:val="0"/>
      </w:pPr>
      <w:r>
        <w:t xml:space="preserve">A monthly points total, out of 240, will be calculated for each Task Order using the points scored for each SFI TLI. </w:t>
      </w:r>
    </w:p>
    <w:p w14:paraId="7752A346" w14:textId="14FF7B64" w:rsidR="00D5678A" w:rsidRDefault="00D5678A" w:rsidP="00D5678A">
      <w:pPr>
        <w:pStyle w:val="ListParagraph"/>
        <w:numPr>
          <w:ilvl w:val="0"/>
          <w:numId w:val="25"/>
        </w:numPr>
        <w:ind w:hanging="357"/>
        <w:contextualSpacing w:val="0"/>
      </w:pPr>
      <w:r>
        <w:t xml:space="preserve">A quarterly score will then be created by calculating an average of the monthly scores achieved across all Task Orders underway in a quarter. A quarterly RAG classification will be applied using predetermined scoring thresholds (as set out below) for the purposes of reviewing performance at that point. </w:t>
      </w:r>
    </w:p>
    <w:p w14:paraId="384EAAE4" w14:textId="282D6566" w:rsidR="00D5678A" w:rsidRDefault="00D5678A" w:rsidP="00D5678A">
      <w:pPr>
        <w:pStyle w:val="ListParagraph"/>
        <w:numPr>
          <w:ilvl w:val="0"/>
          <w:numId w:val="25"/>
        </w:numPr>
        <w:ind w:hanging="357"/>
        <w:contextualSpacing w:val="0"/>
      </w:pPr>
      <w:r>
        <w:t xml:space="preserve">An "End of Year" score will be calculated by taking the average of the quarterly scores, following the application of any ‘rules’ (as described below), to give a score out of 240. </w:t>
      </w:r>
    </w:p>
    <w:p w14:paraId="2B69497F" w14:textId="7097CB20" w:rsidR="005D4274" w:rsidRDefault="00D5678A" w:rsidP="00D5678A">
      <w:pPr>
        <w:pStyle w:val="ListParagraph"/>
        <w:numPr>
          <w:ilvl w:val="0"/>
          <w:numId w:val="25"/>
        </w:numPr>
        <w:ind w:hanging="357"/>
        <w:contextualSpacing w:val="0"/>
      </w:pPr>
      <w:r>
        <w:t>The SFI payout/release will then be based on a scale with thresholds:</w:t>
      </w:r>
    </w:p>
    <w:p w14:paraId="78D0D32F" w14:textId="77777777" w:rsidR="009B61E7" w:rsidRDefault="009B61E7" w:rsidP="009B61E7">
      <w:pPr>
        <w:pStyle w:val="ListParagraph"/>
        <w:contextualSpacing w:val="0"/>
      </w:pPr>
    </w:p>
    <w:p w14:paraId="063CE755" w14:textId="3DAA809F" w:rsidR="002F5346" w:rsidRPr="00461CF2" w:rsidRDefault="00461CF2" w:rsidP="00E35AC1">
      <w:pPr>
        <w:rPr>
          <w:b/>
          <w:bCs/>
        </w:rPr>
      </w:pPr>
      <w:r w:rsidRPr="00461CF2">
        <w:rPr>
          <w:b/>
          <w:bCs/>
        </w:rPr>
        <w:t>RAG Assigned to Score and End of Year Disbursement Thresholds: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2895"/>
        <w:gridCol w:w="3465"/>
        <w:gridCol w:w="3000"/>
      </w:tblGrid>
      <w:tr w:rsidR="00E35AC1" w:rsidRPr="00E35AC1" w14:paraId="387544F4" w14:textId="77777777" w:rsidTr="00A13F02">
        <w:trPr>
          <w:trHeight w:val="315"/>
        </w:trPr>
        <w:tc>
          <w:tcPr>
            <w:tcW w:w="2895" w:type="dxa"/>
            <w:tcBorders>
              <w:top w:val="single" w:sz="4" w:space="0" w:color="auto"/>
              <w:left w:val="single" w:sz="4" w:space="0" w:color="auto"/>
              <w:bottom w:val="single" w:sz="4" w:space="0" w:color="auto"/>
              <w:right w:val="single" w:sz="4" w:space="0" w:color="auto"/>
            </w:tcBorders>
            <w:shd w:val="clear" w:color="auto" w:fill="518378"/>
            <w:tcMar>
              <w:top w:w="0" w:type="dxa"/>
              <w:left w:w="40" w:type="dxa"/>
              <w:bottom w:w="0" w:type="dxa"/>
              <w:right w:w="40" w:type="dxa"/>
            </w:tcMar>
            <w:vAlign w:val="bottom"/>
          </w:tcPr>
          <w:p w14:paraId="5FEFB6AF"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color w:val="FFFFFF"/>
                <w:sz w:val="20"/>
                <w:szCs w:val="20"/>
                <w:lang w:eastAsia="en-GB"/>
              </w:rPr>
              <w:t>Score</w:t>
            </w:r>
          </w:p>
        </w:tc>
        <w:tc>
          <w:tcPr>
            <w:tcW w:w="3465" w:type="dxa"/>
            <w:tcBorders>
              <w:top w:val="single" w:sz="4" w:space="0" w:color="auto"/>
              <w:left w:val="single" w:sz="4" w:space="0" w:color="auto"/>
              <w:bottom w:val="single" w:sz="4" w:space="0" w:color="auto"/>
              <w:right w:val="single" w:sz="4" w:space="0" w:color="auto"/>
            </w:tcBorders>
            <w:shd w:val="clear" w:color="auto" w:fill="518378"/>
            <w:tcMar>
              <w:top w:w="0" w:type="dxa"/>
              <w:left w:w="40" w:type="dxa"/>
              <w:bottom w:w="0" w:type="dxa"/>
              <w:right w:w="40" w:type="dxa"/>
            </w:tcMar>
            <w:vAlign w:val="bottom"/>
          </w:tcPr>
          <w:p w14:paraId="0A403DDB"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color w:val="FFFFFF"/>
                <w:sz w:val="20"/>
                <w:szCs w:val="20"/>
                <w:lang w:eastAsia="en-GB"/>
              </w:rPr>
              <w:t xml:space="preserve">RAG Assigned to Score </w:t>
            </w:r>
          </w:p>
        </w:tc>
        <w:tc>
          <w:tcPr>
            <w:tcW w:w="3000" w:type="dxa"/>
            <w:tcBorders>
              <w:top w:val="single" w:sz="4" w:space="0" w:color="auto"/>
              <w:left w:val="single" w:sz="4" w:space="0" w:color="auto"/>
              <w:bottom w:val="single" w:sz="4" w:space="0" w:color="auto"/>
              <w:right w:val="single" w:sz="4" w:space="0" w:color="auto"/>
            </w:tcBorders>
            <w:shd w:val="clear" w:color="auto" w:fill="518378"/>
            <w:tcMar>
              <w:top w:w="0" w:type="dxa"/>
              <w:left w:w="40" w:type="dxa"/>
              <w:bottom w:w="0" w:type="dxa"/>
              <w:right w:w="40" w:type="dxa"/>
            </w:tcMar>
            <w:vAlign w:val="bottom"/>
          </w:tcPr>
          <w:p w14:paraId="5D91ABB6"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color w:val="FFFFFF"/>
                <w:sz w:val="20"/>
                <w:szCs w:val="20"/>
                <w:lang w:eastAsia="en-GB"/>
              </w:rPr>
              <w:t>SFI Payout</w:t>
            </w:r>
          </w:p>
        </w:tc>
      </w:tr>
      <w:tr w:rsidR="00E35AC1" w:rsidRPr="00E35AC1" w14:paraId="47C4953D" w14:textId="77777777" w:rsidTr="00A13F02">
        <w:trPr>
          <w:trHeight w:val="315"/>
        </w:trPr>
        <w:tc>
          <w:tcPr>
            <w:tcW w:w="28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05E30455"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sz w:val="20"/>
                <w:szCs w:val="20"/>
                <w:lang w:eastAsia="en-GB"/>
              </w:rPr>
              <w:t>&gt;=210</w:t>
            </w:r>
          </w:p>
        </w:tc>
        <w:tc>
          <w:tcPr>
            <w:tcW w:w="346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bottom"/>
          </w:tcPr>
          <w:p w14:paraId="7129F37D"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color w:val="6AA84F"/>
                <w:sz w:val="20"/>
                <w:szCs w:val="20"/>
                <w:lang w:eastAsia="en-GB"/>
              </w:rPr>
              <w:t>Green</w:t>
            </w:r>
          </w:p>
        </w:tc>
        <w:tc>
          <w:tcPr>
            <w:tcW w:w="30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716EEE9B"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sz w:val="20"/>
                <w:szCs w:val="20"/>
                <w:lang w:eastAsia="en-GB"/>
              </w:rPr>
              <w:t>100%</w:t>
            </w:r>
          </w:p>
        </w:tc>
      </w:tr>
      <w:tr w:rsidR="00E35AC1" w:rsidRPr="00E35AC1" w14:paraId="0B67348A" w14:textId="77777777" w:rsidTr="00A13F02">
        <w:trPr>
          <w:trHeight w:val="315"/>
        </w:trPr>
        <w:tc>
          <w:tcPr>
            <w:tcW w:w="28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5B9E1269" w14:textId="04D9F9A5"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sz w:val="20"/>
                <w:szCs w:val="20"/>
                <w:lang w:eastAsia="en-GB"/>
              </w:rPr>
              <w:t>Less than 210, but &gt;</w:t>
            </w:r>
            <w:r w:rsidR="002E6FD8">
              <w:rPr>
                <w:rFonts w:eastAsia="Arial" w:cs="Arial"/>
                <w:b/>
                <w:sz w:val="20"/>
                <w:szCs w:val="20"/>
                <w:lang w:eastAsia="en-GB"/>
              </w:rPr>
              <w:t>=</w:t>
            </w:r>
            <w:r w:rsidRPr="00E35AC1">
              <w:rPr>
                <w:rFonts w:eastAsia="Arial" w:cs="Arial"/>
                <w:b/>
                <w:sz w:val="20"/>
                <w:szCs w:val="20"/>
                <w:lang w:eastAsia="en-GB"/>
              </w:rPr>
              <w:t>195</w:t>
            </w:r>
          </w:p>
        </w:tc>
        <w:tc>
          <w:tcPr>
            <w:tcW w:w="346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bottom"/>
          </w:tcPr>
          <w:p w14:paraId="5A352A66"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color w:val="FF9900"/>
                <w:sz w:val="20"/>
                <w:szCs w:val="20"/>
                <w:lang w:eastAsia="en-GB"/>
              </w:rPr>
              <w:t>High Amber</w:t>
            </w:r>
          </w:p>
        </w:tc>
        <w:tc>
          <w:tcPr>
            <w:tcW w:w="30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44A8663E"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sz w:val="20"/>
                <w:szCs w:val="20"/>
                <w:lang w:eastAsia="en-GB"/>
              </w:rPr>
              <w:t>75%</w:t>
            </w:r>
          </w:p>
        </w:tc>
      </w:tr>
      <w:tr w:rsidR="00E35AC1" w:rsidRPr="00E35AC1" w14:paraId="67303D53" w14:textId="77777777" w:rsidTr="00A13F02">
        <w:trPr>
          <w:trHeight w:val="315"/>
        </w:trPr>
        <w:tc>
          <w:tcPr>
            <w:tcW w:w="28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115747B6" w14:textId="394AD3E2"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sz w:val="20"/>
                <w:szCs w:val="20"/>
                <w:lang w:eastAsia="en-GB"/>
              </w:rPr>
              <w:t>&lt;195, but &gt;</w:t>
            </w:r>
            <w:r w:rsidR="002E6FD8">
              <w:rPr>
                <w:rFonts w:eastAsia="Arial" w:cs="Arial"/>
                <w:b/>
                <w:sz w:val="20"/>
                <w:szCs w:val="20"/>
                <w:lang w:eastAsia="en-GB"/>
              </w:rPr>
              <w:t>=</w:t>
            </w:r>
            <w:r w:rsidRPr="00E35AC1">
              <w:rPr>
                <w:rFonts w:eastAsia="Arial" w:cs="Arial"/>
                <w:b/>
                <w:sz w:val="20"/>
                <w:szCs w:val="20"/>
                <w:lang w:eastAsia="en-GB"/>
              </w:rPr>
              <w:t>180</w:t>
            </w:r>
          </w:p>
        </w:tc>
        <w:tc>
          <w:tcPr>
            <w:tcW w:w="346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bottom"/>
          </w:tcPr>
          <w:p w14:paraId="5C66BFB9"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color w:val="FF9900"/>
                <w:sz w:val="20"/>
                <w:szCs w:val="20"/>
                <w:lang w:eastAsia="en-GB"/>
              </w:rPr>
              <w:t>Low Amber</w:t>
            </w:r>
          </w:p>
        </w:tc>
        <w:tc>
          <w:tcPr>
            <w:tcW w:w="30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6CD5F54B"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sz w:val="20"/>
                <w:szCs w:val="20"/>
                <w:lang w:eastAsia="en-GB"/>
              </w:rPr>
              <w:t>25%</w:t>
            </w:r>
          </w:p>
        </w:tc>
      </w:tr>
      <w:tr w:rsidR="00E35AC1" w:rsidRPr="00E35AC1" w14:paraId="344AF10D" w14:textId="77777777" w:rsidTr="00A13F02">
        <w:trPr>
          <w:trHeight w:val="315"/>
        </w:trPr>
        <w:tc>
          <w:tcPr>
            <w:tcW w:w="289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40AD7564"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b/>
                <w:sz w:val="20"/>
                <w:szCs w:val="20"/>
                <w:lang w:eastAsia="en-GB"/>
              </w:rPr>
              <w:t>&lt;180</w:t>
            </w:r>
          </w:p>
        </w:tc>
        <w:tc>
          <w:tcPr>
            <w:tcW w:w="346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bottom"/>
          </w:tcPr>
          <w:p w14:paraId="597D47CE"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color w:val="FF0000"/>
                <w:sz w:val="20"/>
                <w:szCs w:val="20"/>
                <w:lang w:eastAsia="en-GB"/>
              </w:rPr>
              <w:t>Red</w:t>
            </w:r>
          </w:p>
        </w:tc>
        <w:tc>
          <w:tcPr>
            <w:tcW w:w="300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bottom"/>
          </w:tcPr>
          <w:p w14:paraId="363898CE" w14:textId="77777777" w:rsidR="00E35AC1" w:rsidRPr="00E35AC1" w:rsidRDefault="00E35AC1" w:rsidP="00E35AC1">
            <w:pPr>
              <w:widowControl w:val="0"/>
              <w:spacing w:before="0" w:after="0" w:line="276" w:lineRule="auto"/>
              <w:jc w:val="center"/>
              <w:rPr>
                <w:rFonts w:eastAsia="Arial" w:cs="Arial"/>
                <w:sz w:val="20"/>
                <w:szCs w:val="20"/>
                <w:lang w:eastAsia="en-GB"/>
              </w:rPr>
            </w:pPr>
            <w:r w:rsidRPr="00E35AC1">
              <w:rPr>
                <w:rFonts w:eastAsia="Arial" w:cs="Arial"/>
                <w:sz w:val="20"/>
                <w:szCs w:val="20"/>
                <w:lang w:eastAsia="en-GB"/>
              </w:rPr>
              <w:t>0%</w:t>
            </w:r>
          </w:p>
        </w:tc>
      </w:tr>
    </w:tbl>
    <w:p w14:paraId="6533D2EE" w14:textId="6DFC85AC" w:rsidR="00CF28CE" w:rsidRDefault="00EF0BAC" w:rsidP="00EF0BAC">
      <w:pPr>
        <w:pStyle w:val="Caption"/>
      </w:pPr>
      <w:bookmarkStart w:id="19" w:name="_Toc198818623"/>
      <w:r>
        <w:t xml:space="preserve">Table </w:t>
      </w:r>
      <w:r>
        <w:fldChar w:fldCharType="begin"/>
      </w:r>
      <w:r>
        <w:instrText xml:space="preserve"> SEQ Table \* ARABIC </w:instrText>
      </w:r>
      <w:r>
        <w:fldChar w:fldCharType="separate"/>
      </w:r>
      <w:r w:rsidR="00F033CC">
        <w:rPr>
          <w:noProof/>
        </w:rPr>
        <w:t>1</w:t>
      </w:r>
      <w:r>
        <w:fldChar w:fldCharType="end"/>
      </w:r>
      <w:r>
        <w:t xml:space="preserve">: </w:t>
      </w:r>
      <w:r w:rsidR="00CE4D24" w:rsidRPr="00CE4D24">
        <w:t>Disbursement Thresholds</w:t>
      </w:r>
      <w:bookmarkEnd w:id="19"/>
    </w:p>
    <w:p w14:paraId="4B9678DF" w14:textId="11B4EEA4" w:rsidR="002F5346" w:rsidRDefault="00C72241" w:rsidP="00C72241">
      <w:pPr>
        <w:pStyle w:val="Heading31"/>
      </w:pPr>
      <w:bookmarkStart w:id="20" w:name="_Toc198818600"/>
      <w:r w:rsidRPr="00C72241">
        <w:t>Which rules will apply to the Performance (SFI) KPI calculation?</w:t>
      </w:r>
      <w:bookmarkEnd w:id="20"/>
    </w:p>
    <w:p w14:paraId="3B3887C9" w14:textId="231080E5" w:rsidR="00C72241" w:rsidRDefault="00B83E54" w:rsidP="00A17C2C">
      <w:r w:rsidRPr="00B83E54">
        <w:t>Rules will also be applied to SFI TLI scores where unacceptable standards of performance are observed as follows:</w:t>
      </w:r>
    </w:p>
    <w:tbl>
      <w:tblPr>
        <w:tblW w:w="9405" w:type="dxa"/>
        <w:tblInd w:w="-30" w:type="dxa"/>
        <w:tblBorders>
          <w:top w:val="nil"/>
          <w:left w:val="nil"/>
          <w:bottom w:val="nil"/>
          <w:right w:val="nil"/>
          <w:insideH w:val="nil"/>
          <w:insideV w:val="nil"/>
        </w:tblBorders>
        <w:tblLayout w:type="fixed"/>
        <w:tblLook w:val="0600" w:firstRow="0" w:lastRow="0" w:firstColumn="0" w:lastColumn="0" w:noHBand="1" w:noVBand="1"/>
      </w:tblPr>
      <w:tblGrid>
        <w:gridCol w:w="448"/>
        <w:gridCol w:w="5162"/>
        <w:gridCol w:w="3795"/>
      </w:tblGrid>
      <w:tr w:rsidR="00E15412" w:rsidRPr="00E15412" w14:paraId="1E2AC2D7" w14:textId="77777777" w:rsidTr="00E15412">
        <w:trPr>
          <w:trHeight w:val="315"/>
        </w:trPr>
        <w:tc>
          <w:tcPr>
            <w:tcW w:w="448" w:type="dxa"/>
            <w:tcBorders>
              <w:top w:val="single" w:sz="6" w:space="0" w:color="000000"/>
              <w:left w:val="single" w:sz="6" w:space="0" w:color="000000"/>
              <w:bottom w:val="single" w:sz="6" w:space="0" w:color="000000"/>
              <w:right w:val="single" w:sz="6" w:space="0" w:color="000000"/>
            </w:tcBorders>
            <w:shd w:val="clear" w:color="auto" w:fill="518378"/>
            <w:tcMar>
              <w:top w:w="0" w:type="dxa"/>
              <w:left w:w="40" w:type="dxa"/>
              <w:bottom w:w="0" w:type="dxa"/>
              <w:right w:w="40" w:type="dxa"/>
            </w:tcMar>
            <w:vAlign w:val="bottom"/>
          </w:tcPr>
          <w:p w14:paraId="105E9271" w14:textId="77777777" w:rsidR="00E15412" w:rsidRPr="00E15412" w:rsidRDefault="00E15412" w:rsidP="00E15412">
            <w:pPr>
              <w:widowControl w:val="0"/>
              <w:spacing w:before="0" w:after="0" w:line="276" w:lineRule="auto"/>
              <w:jc w:val="center"/>
              <w:rPr>
                <w:rFonts w:eastAsia="Arial" w:cs="Arial"/>
                <w:sz w:val="20"/>
                <w:szCs w:val="20"/>
                <w:lang w:eastAsia="en-GB"/>
              </w:rPr>
            </w:pPr>
          </w:p>
        </w:tc>
        <w:tc>
          <w:tcPr>
            <w:tcW w:w="5162" w:type="dxa"/>
            <w:tcBorders>
              <w:top w:val="single" w:sz="6" w:space="0" w:color="000000"/>
              <w:left w:val="single" w:sz="6" w:space="0" w:color="CCCCCC"/>
              <w:bottom w:val="single" w:sz="6" w:space="0" w:color="000000"/>
              <w:right w:val="single" w:sz="6" w:space="0" w:color="000000"/>
            </w:tcBorders>
            <w:shd w:val="clear" w:color="auto" w:fill="518378"/>
            <w:tcMar>
              <w:top w:w="0" w:type="dxa"/>
              <w:left w:w="40" w:type="dxa"/>
              <w:bottom w:w="0" w:type="dxa"/>
              <w:right w:w="40" w:type="dxa"/>
            </w:tcMar>
            <w:vAlign w:val="bottom"/>
          </w:tcPr>
          <w:p w14:paraId="1724A663" w14:textId="77777777" w:rsidR="00E15412" w:rsidRPr="00E15412" w:rsidRDefault="00E15412" w:rsidP="00E15412">
            <w:pPr>
              <w:widowControl w:val="0"/>
              <w:spacing w:before="0" w:after="0" w:line="276" w:lineRule="auto"/>
              <w:jc w:val="center"/>
              <w:rPr>
                <w:rFonts w:eastAsia="Arial" w:cs="Arial"/>
                <w:sz w:val="20"/>
                <w:szCs w:val="20"/>
                <w:lang w:eastAsia="en-GB"/>
              </w:rPr>
            </w:pPr>
            <w:r w:rsidRPr="00E15412">
              <w:rPr>
                <w:rFonts w:eastAsia="Arial" w:cs="Arial"/>
                <w:b/>
                <w:color w:val="FFFFFF"/>
                <w:sz w:val="20"/>
                <w:szCs w:val="20"/>
                <w:lang w:eastAsia="en-GB"/>
              </w:rPr>
              <w:t>Rule/Criteria</w:t>
            </w:r>
          </w:p>
        </w:tc>
        <w:tc>
          <w:tcPr>
            <w:tcW w:w="3795" w:type="dxa"/>
            <w:tcBorders>
              <w:top w:val="single" w:sz="6" w:space="0" w:color="000000"/>
              <w:left w:val="single" w:sz="6" w:space="0" w:color="CCCCCC"/>
              <w:bottom w:val="single" w:sz="6" w:space="0" w:color="000000"/>
              <w:right w:val="single" w:sz="6" w:space="0" w:color="000000"/>
            </w:tcBorders>
            <w:shd w:val="clear" w:color="auto" w:fill="518378"/>
            <w:tcMar>
              <w:top w:w="0" w:type="dxa"/>
              <w:left w:w="40" w:type="dxa"/>
              <w:bottom w:w="0" w:type="dxa"/>
              <w:right w:w="40" w:type="dxa"/>
            </w:tcMar>
            <w:vAlign w:val="bottom"/>
          </w:tcPr>
          <w:p w14:paraId="740FD351" w14:textId="77777777" w:rsidR="00E15412" w:rsidRPr="00E15412" w:rsidRDefault="00E15412" w:rsidP="00E15412">
            <w:pPr>
              <w:widowControl w:val="0"/>
              <w:spacing w:before="0" w:after="0" w:line="276" w:lineRule="auto"/>
              <w:jc w:val="center"/>
              <w:rPr>
                <w:rFonts w:eastAsia="Arial" w:cs="Arial"/>
                <w:sz w:val="20"/>
                <w:szCs w:val="20"/>
                <w:lang w:eastAsia="en-GB"/>
              </w:rPr>
            </w:pPr>
            <w:r w:rsidRPr="00E15412">
              <w:rPr>
                <w:rFonts w:eastAsia="Arial" w:cs="Arial"/>
                <w:b/>
                <w:color w:val="FFFFFF"/>
                <w:sz w:val="20"/>
                <w:szCs w:val="20"/>
                <w:lang w:eastAsia="en-GB"/>
              </w:rPr>
              <w:t>Consequence</w:t>
            </w:r>
          </w:p>
        </w:tc>
      </w:tr>
      <w:tr w:rsidR="00E15412" w:rsidRPr="00E15412" w14:paraId="075F54F8" w14:textId="77777777" w:rsidTr="00E15412">
        <w:trPr>
          <w:trHeight w:val="315"/>
        </w:trPr>
        <w:tc>
          <w:tcPr>
            <w:tcW w:w="44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98161AF" w14:textId="77777777" w:rsidR="00E15412" w:rsidRPr="00E15412" w:rsidRDefault="00E15412" w:rsidP="00E15412">
            <w:pPr>
              <w:widowControl w:val="0"/>
              <w:jc w:val="center"/>
              <w:rPr>
                <w:rFonts w:eastAsia="Arial" w:cs="Arial"/>
                <w:sz w:val="20"/>
                <w:szCs w:val="20"/>
                <w:lang w:eastAsia="en-GB"/>
              </w:rPr>
            </w:pPr>
            <w:r w:rsidRPr="00E15412">
              <w:rPr>
                <w:rFonts w:eastAsia="Arial" w:cs="Arial"/>
                <w:sz w:val="20"/>
                <w:szCs w:val="20"/>
                <w:lang w:eastAsia="en-GB"/>
              </w:rPr>
              <w:t>1</w:t>
            </w:r>
          </w:p>
        </w:tc>
        <w:tc>
          <w:tcPr>
            <w:tcW w:w="51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238D5D87" w14:textId="77777777"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 xml:space="preserve">3 or more consecutive ‘Red’ scores in a TLI category, on a single Task Order (including rolling across quarters). </w:t>
            </w:r>
          </w:p>
        </w:tc>
        <w:tc>
          <w:tcPr>
            <w:tcW w:w="37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0149CD8D" w14:textId="77777777"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 xml:space="preserve">Total monthly scores for the Task Order are reduced to ‘0’ for the 3 months where the Red scores were incurred. </w:t>
            </w:r>
          </w:p>
        </w:tc>
      </w:tr>
      <w:tr w:rsidR="00E15412" w:rsidRPr="00E15412" w14:paraId="77714BC7" w14:textId="77777777" w:rsidTr="00E15412">
        <w:trPr>
          <w:trHeight w:val="315"/>
        </w:trPr>
        <w:tc>
          <w:tcPr>
            <w:tcW w:w="44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F4B7127" w14:textId="77777777" w:rsidR="00E15412" w:rsidRPr="00E15412" w:rsidRDefault="00E15412" w:rsidP="00E15412">
            <w:pPr>
              <w:widowControl w:val="0"/>
              <w:jc w:val="center"/>
              <w:rPr>
                <w:rFonts w:eastAsia="Arial" w:cs="Arial"/>
                <w:sz w:val="20"/>
                <w:szCs w:val="20"/>
                <w:lang w:eastAsia="en-GB"/>
              </w:rPr>
            </w:pPr>
            <w:r w:rsidRPr="00E15412">
              <w:rPr>
                <w:rFonts w:eastAsia="Arial" w:cs="Arial"/>
                <w:sz w:val="20"/>
                <w:szCs w:val="20"/>
                <w:lang w:eastAsia="en-GB"/>
              </w:rPr>
              <w:t>2</w:t>
            </w:r>
          </w:p>
        </w:tc>
        <w:tc>
          <w:tcPr>
            <w:tcW w:w="51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C40E050" w14:textId="77777777"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2 or more consecutive ‘Red’ scores in a Health &amp; Safety TLI category, on a single Task Order (including rolling across quarters)</w:t>
            </w:r>
          </w:p>
        </w:tc>
        <w:tc>
          <w:tcPr>
            <w:tcW w:w="37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1FEA37F4" w14:textId="4FC656DC"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Total monthly scores for the Task Order are reduced to ‘0’ for the months where the Red scores were incurred.</w:t>
            </w:r>
          </w:p>
        </w:tc>
      </w:tr>
      <w:tr w:rsidR="00E15412" w:rsidRPr="00E15412" w14:paraId="45627F71" w14:textId="77777777" w:rsidTr="00E15412">
        <w:trPr>
          <w:trHeight w:val="315"/>
        </w:trPr>
        <w:tc>
          <w:tcPr>
            <w:tcW w:w="44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074FDB7" w14:textId="77777777" w:rsidR="00E15412" w:rsidRPr="00E15412" w:rsidRDefault="00E15412" w:rsidP="00E15412">
            <w:pPr>
              <w:widowControl w:val="0"/>
              <w:jc w:val="center"/>
              <w:rPr>
                <w:rFonts w:eastAsia="Arial" w:cs="Arial"/>
                <w:sz w:val="20"/>
                <w:szCs w:val="20"/>
                <w:lang w:eastAsia="en-GB"/>
              </w:rPr>
            </w:pPr>
            <w:r w:rsidRPr="00E15412">
              <w:rPr>
                <w:rFonts w:eastAsia="Arial" w:cs="Arial"/>
                <w:sz w:val="20"/>
                <w:szCs w:val="20"/>
                <w:lang w:eastAsia="en-GB"/>
              </w:rPr>
              <w:t>3</w:t>
            </w:r>
          </w:p>
        </w:tc>
        <w:tc>
          <w:tcPr>
            <w:tcW w:w="51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33362907" w14:textId="77777777"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6 or more monthly ‘Red’ scores on a single Task Order in any rolling 12-month period.</w:t>
            </w:r>
          </w:p>
        </w:tc>
        <w:tc>
          <w:tcPr>
            <w:tcW w:w="37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3FD0B953" w14:textId="0511D1BB"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Total monthly scores for the Task Order are reduced to ‘0’ for the months where the Red scores were incurred.</w:t>
            </w:r>
          </w:p>
        </w:tc>
      </w:tr>
      <w:tr w:rsidR="00E15412" w:rsidRPr="00E15412" w14:paraId="3D5E1A26" w14:textId="77777777" w:rsidTr="00E15412">
        <w:trPr>
          <w:trHeight w:val="315"/>
        </w:trPr>
        <w:tc>
          <w:tcPr>
            <w:tcW w:w="448"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6EBFE72B" w14:textId="77777777" w:rsidR="00E15412" w:rsidRPr="00E15412" w:rsidRDefault="00E15412" w:rsidP="00E15412">
            <w:pPr>
              <w:widowControl w:val="0"/>
              <w:jc w:val="center"/>
              <w:rPr>
                <w:rFonts w:eastAsia="Arial" w:cs="Arial"/>
                <w:sz w:val="20"/>
                <w:szCs w:val="20"/>
                <w:lang w:eastAsia="en-GB"/>
              </w:rPr>
            </w:pPr>
            <w:r w:rsidRPr="00E15412">
              <w:rPr>
                <w:rFonts w:eastAsia="Arial" w:cs="Arial"/>
                <w:sz w:val="20"/>
                <w:szCs w:val="20"/>
                <w:lang w:eastAsia="en-GB"/>
              </w:rPr>
              <w:t>4</w:t>
            </w:r>
          </w:p>
        </w:tc>
        <w:tc>
          <w:tcPr>
            <w:tcW w:w="5162" w:type="dxa"/>
            <w:tcBorders>
              <w:top w:val="single" w:sz="6" w:space="0" w:color="CCCCCC"/>
              <w:left w:val="single" w:sz="6" w:space="0" w:color="CCCCCC"/>
              <w:bottom w:val="single" w:sz="6" w:space="0" w:color="000000"/>
              <w:right w:val="single" w:sz="6" w:space="0" w:color="000000"/>
            </w:tcBorders>
            <w:shd w:val="clear" w:color="auto" w:fill="FFFFFF"/>
            <w:tcMar>
              <w:top w:w="0" w:type="dxa"/>
              <w:left w:w="40" w:type="dxa"/>
              <w:bottom w:w="0" w:type="dxa"/>
              <w:right w:w="40" w:type="dxa"/>
            </w:tcMar>
            <w:vAlign w:val="center"/>
          </w:tcPr>
          <w:p w14:paraId="531443A6" w14:textId="77777777"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Each average annual Task Order score must be a minimum of 170</w:t>
            </w:r>
          </w:p>
        </w:tc>
        <w:tc>
          <w:tcPr>
            <w:tcW w:w="379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center"/>
          </w:tcPr>
          <w:p w14:paraId="4B7407DA" w14:textId="77777777" w:rsidR="00E15412" w:rsidRPr="00E15412" w:rsidRDefault="00E15412" w:rsidP="00E15412">
            <w:pPr>
              <w:widowControl w:val="0"/>
              <w:rPr>
                <w:rFonts w:eastAsia="Arial" w:cs="Arial"/>
                <w:sz w:val="20"/>
                <w:szCs w:val="20"/>
                <w:lang w:eastAsia="en-GB"/>
              </w:rPr>
            </w:pPr>
            <w:r w:rsidRPr="00E15412">
              <w:rPr>
                <w:rFonts w:eastAsia="Arial" w:cs="Arial"/>
                <w:sz w:val="20"/>
                <w:szCs w:val="20"/>
                <w:lang w:eastAsia="en-GB"/>
              </w:rPr>
              <w:t>SFI payment due is lowered to the next applicable SFI reimbursement threshold if any single Task Order fails to meet the minimum threshold.</w:t>
            </w:r>
          </w:p>
        </w:tc>
      </w:tr>
    </w:tbl>
    <w:p w14:paraId="4FDF4F4C" w14:textId="52F4771F" w:rsidR="00EF0BAC" w:rsidRDefault="00EF0BAC" w:rsidP="00EF0BAC">
      <w:pPr>
        <w:pStyle w:val="Caption"/>
      </w:pPr>
      <w:bookmarkStart w:id="21" w:name="_Toc198818624"/>
      <w:r>
        <w:lastRenderedPageBreak/>
        <w:t xml:space="preserve">Table </w:t>
      </w:r>
      <w:r>
        <w:fldChar w:fldCharType="begin"/>
      </w:r>
      <w:r>
        <w:instrText xml:space="preserve"> SEQ Table \* ARABIC </w:instrText>
      </w:r>
      <w:r>
        <w:fldChar w:fldCharType="separate"/>
      </w:r>
      <w:r w:rsidR="00F033CC">
        <w:rPr>
          <w:noProof/>
        </w:rPr>
        <w:t>2</w:t>
      </w:r>
      <w:r>
        <w:fldChar w:fldCharType="end"/>
      </w:r>
      <w:r>
        <w:t xml:space="preserve">: </w:t>
      </w:r>
      <w:r w:rsidR="007542EA">
        <w:t>S</w:t>
      </w:r>
      <w:r w:rsidR="007542EA" w:rsidRPr="007542EA">
        <w:t xml:space="preserve">tandards of </w:t>
      </w:r>
      <w:r w:rsidR="00B156B4">
        <w:t>P</w:t>
      </w:r>
      <w:r w:rsidR="007542EA" w:rsidRPr="007542EA">
        <w:t>erformance</w:t>
      </w:r>
      <w:bookmarkEnd w:id="21"/>
    </w:p>
    <w:p w14:paraId="4E286649" w14:textId="72C377FE" w:rsidR="00C72241" w:rsidRDefault="006975AE" w:rsidP="00A17C2C">
      <w:r w:rsidRPr="006975AE">
        <w:t xml:space="preserve">A worked example of the Performance SFI TLI measures is shown in </w:t>
      </w:r>
      <w:r w:rsidRPr="006975AE">
        <w:rPr>
          <w:b/>
          <w:bCs/>
        </w:rPr>
        <w:t>Appendix B</w:t>
      </w:r>
      <w:r w:rsidRPr="006975AE">
        <w:t>.</w:t>
      </w:r>
    </w:p>
    <w:p w14:paraId="5A42072F" w14:textId="77777777" w:rsidR="00966B4D" w:rsidRPr="00966B4D" w:rsidRDefault="00966B4D" w:rsidP="002B281D">
      <w:pPr>
        <w:pStyle w:val="Heading21"/>
        <w:rPr>
          <w:rFonts w:eastAsia="Arial"/>
          <w:lang w:eastAsia="en-GB"/>
        </w:rPr>
      </w:pPr>
      <w:bookmarkStart w:id="22" w:name="_Toc198818601"/>
      <w:r w:rsidRPr="00966B4D">
        <w:rPr>
          <w:rFonts w:eastAsia="Arial"/>
          <w:lang w:eastAsia="en-GB"/>
        </w:rPr>
        <w:t>Actions on Receiving a Red RAG Rating</w:t>
      </w:r>
      <w:bookmarkEnd w:id="22"/>
    </w:p>
    <w:p w14:paraId="3B8372D6" w14:textId="2CC5E9AA" w:rsidR="00966B4D" w:rsidRDefault="00966B4D" w:rsidP="00966B4D">
      <w:r>
        <w:t>Where the SCDP receives a Red RAG score in any month the SCDP shall be required to undertake a "Lessons Learnt" exercise and submit a report identifying the cause of the failure, mitigations (how they intend to reduce the risk of the event giving rise to the Red score re-occurring), and  remediations (how the SCDP will make good the failing), and will be required to submit the Lessons Learnt Report for approval by the Authority prior to the submission of the next monthly report</w:t>
      </w:r>
      <w:r w:rsidR="00356F63">
        <w:t>, this will be in line with the reporting timelines as set out</w:t>
      </w:r>
      <w:r w:rsidR="00AA77EB">
        <w:t xml:space="preserve"> in </w:t>
      </w:r>
      <w:r w:rsidR="00AA77EB" w:rsidRPr="00731C84">
        <w:t>XXXX</w:t>
      </w:r>
      <w:r>
        <w:t>. Failure to submit the Lessons Learnt Report or to obtain the Authority’s approval shall result in an Amber rating at the next monthly assessment (unless the assessment is determined to be Red, in which case the assessment will be Red).</w:t>
      </w:r>
    </w:p>
    <w:p w14:paraId="768D1FA1" w14:textId="34B532FE" w:rsidR="00966B4D" w:rsidRPr="00966B4D" w:rsidRDefault="00DC5313" w:rsidP="002B281D">
      <w:pPr>
        <w:pStyle w:val="Heading21"/>
        <w:rPr>
          <w:rFonts w:eastAsia="Arial"/>
          <w:lang w:eastAsia="en-GB"/>
        </w:rPr>
      </w:pPr>
      <w:bookmarkStart w:id="23" w:name="_Toc198818602"/>
      <w:r>
        <w:rPr>
          <w:rFonts w:eastAsia="Arial"/>
          <w:lang w:eastAsia="en-GB"/>
        </w:rPr>
        <w:t>‘</w:t>
      </w:r>
      <w:r w:rsidR="00966B4D" w:rsidRPr="00966B4D">
        <w:rPr>
          <w:rFonts w:eastAsia="Arial"/>
          <w:lang w:eastAsia="en-GB"/>
        </w:rPr>
        <w:t>Resetting</w:t>
      </w:r>
      <w:r>
        <w:rPr>
          <w:rFonts w:eastAsia="Arial"/>
          <w:lang w:eastAsia="en-GB"/>
        </w:rPr>
        <w:t>’</w:t>
      </w:r>
      <w:r w:rsidR="00966B4D" w:rsidRPr="00966B4D">
        <w:rPr>
          <w:rFonts w:eastAsia="Arial"/>
          <w:lang w:eastAsia="en-GB"/>
        </w:rPr>
        <w:t xml:space="preserve"> a Red Rating</w:t>
      </w:r>
      <w:bookmarkEnd w:id="23"/>
    </w:p>
    <w:p w14:paraId="5DDB28A7" w14:textId="77777777" w:rsidR="00966B4D" w:rsidRDefault="00966B4D" w:rsidP="00966B4D">
      <w:r>
        <w:t>The general principle of ‘not being penalised twice’ shall apply.</w:t>
      </w:r>
    </w:p>
    <w:p w14:paraId="5D8CF750" w14:textId="0B29A3CF" w:rsidR="00BD0486" w:rsidRDefault="00966B4D" w:rsidP="00966B4D">
      <w:r>
        <w:t xml:space="preserve">If following a Red rating the SCDP submits a Lessons Learnt report which is approved by </w:t>
      </w:r>
      <w:r w:rsidR="004E14C7">
        <w:t>the Client</w:t>
      </w:r>
      <w:r>
        <w:t>, then scoring of the subsequent monthly RAG status shall be based on the reported performance for the month i.e. the previous Red RAG score is not carried over: unless the report has not been submitted or approved (Amber rating) or a new event is reported.</w:t>
      </w:r>
    </w:p>
    <w:p w14:paraId="5C391311" w14:textId="77777777" w:rsidR="007E6D40" w:rsidRDefault="007E6D40" w:rsidP="00220164">
      <w:pPr>
        <w:pStyle w:val="Heading21"/>
      </w:pPr>
      <w:bookmarkStart w:id="24" w:name="_Toc198818603"/>
      <w:r>
        <w:t>Social Value &amp; Sustainability KPI</w:t>
      </w:r>
      <w:bookmarkEnd w:id="24"/>
    </w:p>
    <w:p w14:paraId="149D5D6D" w14:textId="77777777" w:rsidR="007E6D40" w:rsidRDefault="007E6D40" w:rsidP="007E6D40">
      <w:r>
        <w:t>The Social Value KPI will measure delivery by the SCDP of its Social Value commitments, as set out in Social Value Delivery Plans.</w:t>
      </w:r>
    </w:p>
    <w:p w14:paraId="076A8F13" w14:textId="77777777" w:rsidR="007E6D40" w:rsidRDefault="007E6D40" w:rsidP="007E6D40">
      <w:r>
        <w:t xml:space="preserve">Social Value &amp; Sustainability KPI performance will be reported monthly and assessed quarterly based upon SCDP performance against the submitted plans. Performance will be scored at the end of the year, where a minimum standard must be met to be eligible for release of the SFI Social Value pot. </w:t>
      </w:r>
    </w:p>
    <w:p w14:paraId="767D08FC" w14:textId="577E033B" w:rsidR="00BD0486" w:rsidRDefault="007E6D40" w:rsidP="007E6D40">
      <w:r>
        <w:t xml:space="preserve">Further details of the </w:t>
      </w:r>
      <w:r w:rsidR="004E14C7">
        <w:t xml:space="preserve">Client </w:t>
      </w:r>
      <w:r>
        <w:t>approach to Social Value Delivery and the Social Value KPI will be provided in separate documentation.</w:t>
      </w:r>
    </w:p>
    <w:p w14:paraId="68B1598C" w14:textId="7AAC42BB" w:rsidR="00FD44DF" w:rsidRDefault="00FD44DF" w:rsidP="00FD44DF">
      <w:pPr>
        <w:pStyle w:val="Heading21"/>
      </w:pPr>
      <w:bookmarkStart w:id="25" w:name="_Toc198818604"/>
      <w:r>
        <w:t>Milestones</w:t>
      </w:r>
      <w:bookmarkEnd w:id="25"/>
    </w:p>
    <w:p w14:paraId="555A8E04" w14:textId="76C54CC3" w:rsidR="00BD0486" w:rsidRDefault="00FD44DF" w:rsidP="00FD44DF">
      <w:r>
        <w:t>Milestones in the context of the SCDP SFI relate to those which are within the scope of the SCDP Task Orders and not milestones relating to the wider Site Characterisation programme e.g. completion of drilling.</w:t>
      </w:r>
    </w:p>
    <w:p w14:paraId="29084691" w14:textId="77777777" w:rsidR="00654754" w:rsidRDefault="00654754" w:rsidP="00654754">
      <w:pPr>
        <w:pStyle w:val="Heading31"/>
      </w:pPr>
      <w:bookmarkStart w:id="26" w:name="_Toc198818605"/>
      <w:r>
        <w:t>How will the Milestones be measured?</w:t>
      </w:r>
      <w:bookmarkEnd w:id="26"/>
    </w:p>
    <w:p w14:paraId="3D8801FE" w14:textId="77777777" w:rsidR="00654754" w:rsidRDefault="00654754" w:rsidP="00654754">
      <w:r>
        <w:t>A variable number of Milestones will be set for each Task Order and will be identified for completion by a specific target completion date. Milestones will relate to specific Task Order objectives (as opposed to wider GDF programme objectives).</w:t>
      </w:r>
    </w:p>
    <w:p w14:paraId="25C13488" w14:textId="77777777" w:rsidR="00654754" w:rsidRDefault="00654754" w:rsidP="00654754">
      <w:r>
        <w:t xml:space="preserve">Milestones will be confirmed by the Authority in the relevant Task Order form.  </w:t>
      </w:r>
    </w:p>
    <w:p w14:paraId="3F04F388" w14:textId="00091549" w:rsidR="00BD0486" w:rsidRDefault="00654754" w:rsidP="00654754">
      <w:r>
        <w:t>Measurement of performance against each Milestone will be based on on-time delivery to the quality expectation of the Authority.</w:t>
      </w:r>
    </w:p>
    <w:p w14:paraId="4F57F52F" w14:textId="77777777" w:rsidR="00446148" w:rsidRDefault="00446148" w:rsidP="00446148">
      <w:pPr>
        <w:pStyle w:val="Heading31"/>
      </w:pPr>
      <w:bookmarkStart w:id="27" w:name="_Toc198818606"/>
      <w:r>
        <w:t>How will the SFI Retention pot be determined for each milestone?</w:t>
      </w:r>
      <w:bookmarkEnd w:id="27"/>
    </w:p>
    <w:p w14:paraId="7C65FB90" w14:textId="77777777" w:rsidR="00446148" w:rsidRDefault="00446148" w:rsidP="00446148">
      <w:r>
        <w:t xml:space="preserve">For each Task Order (with the exception of Task 0) the Authority will set out draft milestones and a percentage retention weighting for each milestone at the "Request for Task Order Proposal" stage. The Contract mechanisms will allow the SCDP to propose alternative draft milestones and </w:t>
      </w:r>
      <w:r>
        <w:lastRenderedPageBreak/>
        <w:t xml:space="preserve">retention weightings for each milestone for the Authority’s consideration, but the Authority will have the ultimate decision. </w:t>
      </w:r>
    </w:p>
    <w:p w14:paraId="6F70CE4D" w14:textId="77777777" w:rsidR="00446148" w:rsidRDefault="00446148" w:rsidP="00446148">
      <w:r>
        <w:t>The finalised Task Order issued by the Authority instructing the work will confirm the Authority approved milestones and retention weightings that will be applicable to the Task Order.</w:t>
      </w:r>
    </w:p>
    <w:p w14:paraId="55A75E13" w14:textId="77777777" w:rsidR="00446148" w:rsidRDefault="00446148" w:rsidP="00446148">
      <w:r>
        <w:t>The Milestones will be applied for the full duration of the Task Order from commencement to completion i.e. it is not annual, and milestones may span financial years.</w:t>
      </w:r>
    </w:p>
    <w:p w14:paraId="10D0F3B8" w14:textId="77777777" w:rsidR="00446148" w:rsidRDefault="00446148" w:rsidP="00446148">
      <w:r>
        <w:t>Changes to the Agreed Task Order Price will be reflected in future milestone payments but will not be retrospectively implemented.</w:t>
      </w:r>
    </w:p>
    <w:p w14:paraId="2429D68F" w14:textId="77777777" w:rsidR="001E5057" w:rsidRDefault="001E5057" w:rsidP="00446148"/>
    <w:p w14:paraId="3B229423" w14:textId="77777777" w:rsidR="00446148" w:rsidRDefault="00446148" w:rsidP="00446148">
      <w:pPr>
        <w:pStyle w:val="Heading31"/>
      </w:pPr>
      <w:bookmarkStart w:id="28" w:name="_Toc198818607"/>
      <w:r>
        <w:t>What impact will the delivery date have on the SFI Retention amount released?</w:t>
      </w:r>
      <w:bookmarkEnd w:id="28"/>
    </w:p>
    <w:p w14:paraId="1EE98701" w14:textId="77777777" w:rsidR="001C2B3E" w:rsidRDefault="00446148" w:rsidP="00446148">
      <w:r>
        <w:t>The Authority will determine whether a Milestone has been achieved and will be required to notify the SCDP whether this is the case within 10 working days of the SCDP's submission of evidence of Milestone completion, with a right for the SCDP to refer the matter to the contractual dispute resolution procedure if it disagrees with the Authority's determination.  The SFI Retention release amount will be dependent on the actual Milestone completion date:</w:t>
      </w:r>
    </w:p>
    <w:p w14:paraId="3142ECFA" w14:textId="22C9485B" w:rsidR="002F5346" w:rsidRDefault="00446148" w:rsidP="00446148">
      <w:r>
        <w:t xml:space="preserve">  </w:t>
      </w:r>
    </w:p>
    <w:tbl>
      <w:tblPr>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8085"/>
      </w:tblGrid>
      <w:tr w:rsidR="00AF4909" w:rsidRPr="00AF4909" w14:paraId="4063CF9D" w14:textId="77777777" w:rsidTr="00A2711A">
        <w:trPr>
          <w:trHeight w:val="230"/>
        </w:trPr>
        <w:tc>
          <w:tcPr>
            <w:tcW w:w="1155" w:type="dxa"/>
            <w:shd w:val="clear" w:color="auto" w:fill="518378"/>
            <w:tcMar>
              <w:top w:w="40" w:type="dxa"/>
              <w:left w:w="40" w:type="dxa"/>
              <w:bottom w:w="40" w:type="dxa"/>
              <w:right w:w="40" w:type="dxa"/>
            </w:tcMar>
            <w:vAlign w:val="center"/>
          </w:tcPr>
          <w:p w14:paraId="0BDF7FC2" w14:textId="77777777" w:rsidR="00AF4909" w:rsidRPr="00AF4909" w:rsidRDefault="00AF4909" w:rsidP="00A2711A">
            <w:pPr>
              <w:widowControl w:val="0"/>
              <w:spacing w:before="0" w:after="0"/>
              <w:rPr>
                <w:rFonts w:eastAsia="Arial" w:cs="Arial"/>
                <w:b/>
                <w:color w:val="FFFFFF"/>
                <w:sz w:val="20"/>
                <w:szCs w:val="20"/>
                <w:lang w:eastAsia="en-GB"/>
              </w:rPr>
            </w:pPr>
            <w:r w:rsidRPr="00AF4909">
              <w:rPr>
                <w:rFonts w:eastAsia="Arial" w:cs="Arial"/>
                <w:b/>
                <w:color w:val="FFFFFF"/>
                <w:sz w:val="20"/>
                <w:szCs w:val="20"/>
                <w:lang w:eastAsia="en-GB"/>
              </w:rPr>
              <w:t>Category</w:t>
            </w:r>
          </w:p>
        </w:tc>
        <w:tc>
          <w:tcPr>
            <w:tcW w:w="8085" w:type="dxa"/>
            <w:shd w:val="clear" w:color="auto" w:fill="518378"/>
            <w:tcMar>
              <w:top w:w="40" w:type="dxa"/>
              <w:left w:w="40" w:type="dxa"/>
              <w:bottom w:w="40" w:type="dxa"/>
              <w:right w:w="40" w:type="dxa"/>
            </w:tcMar>
            <w:vAlign w:val="center"/>
          </w:tcPr>
          <w:p w14:paraId="1834E5E2" w14:textId="77777777" w:rsidR="00AF4909" w:rsidRPr="00AF4909" w:rsidRDefault="00AF4909" w:rsidP="00A2711A">
            <w:pPr>
              <w:widowControl w:val="0"/>
              <w:spacing w:before="0" w:after="0"/>
              <w:rPr>
                <w:rFonts w:eastAsia="Arial" w:cs="Arial"/>
                <w:b/>
                <w:color w:val="FFFFFF"/>
                <w:sz w:val="20"/>
                <w:szCs w:val="20"/>
                <w:lang w:eastAsia="en-GB"/>
              </w:rPr>
            </w:pPr>
            <w:r w:rsidRPr="00AF4909">
              <w:rPr>
                <w:rFonts w:eastAsia="Arial" w:cs="Arial"/>
                <w:b/>
                <w:color w:val="FFFFFF"/>
                <w:sz w:val="20"/>
                <w:szCs w:val="20"/>
                <w:lang w:eastAsia="en-GB"/>
              </w:rPr>
              <w:t>RAG Scoring / Payment Approach</w:t>
            </w:r>
          </w:p>
        </w:tc>
      </w:tr>
      <w:tr w:rsidR="006D3461" w:rsidRPr="00AF4909" w14:paraId="6F9421CF" w14:textId="77777777" w:rsidTr="00A2711A">
        <w:trPr>
          <w:trHeight w:val="303"/>
        </w:trPr>
        <w:tc>
          <w:tcPr>
            <w:tcW w:w="1155" w:type="dxa"/>
            <w:vMerge w:val="restart"/>
            <w:tcMar>
              <w:top w:w="40" w:type="dxa"/>
              <w:left w:w="40" w:type="dxa"/>
              <w:bottom w:w="40" w:type="dxa"/>
              <w:right w:w="40" w:type="dxa"/>
            </w:tcMar>
            <w:vAlign w:val="center"/>
          </w:tcPr>
          <w:p w14:paraId="6864C4F4" w14:textId="7AA1419C" w:rsidR="006D3461" w:rsidRPr="00AF4909" w:rsidRDefault="006D3461" w:rsidP="00A2711A">
            <w:pPr>
              <w:widowControl w:val="0"/>
              <w:spacing w:before="0" w:after="0"/>
              <w:jc w:val="center"/>
              <w:rPr>
                <w:rFonts w:eastAsia="Arial" w:cs="Arial"/>
                <w:b/>
                <w:sz w:val="20"/>
                <w:szCs w:val="20"/>
                <w:lang w:eastAsia="en-GB"/>
              </w:rPr>
            </w:pPr>
            <w:r w:rsidRPr="00AF4909">
              <w:rPr>
                <w:rFonts w:eastAsia="Arial" w:cs="Arial"/>
                <w:b/>
                <w:sz w:val="20"/>
                <w:szCs w:val="20"/>
                <w:lang w:eastAsia="en-GB"/>
              </w:rPr>
              <w:t>Milestones</w:t>
            </w:r>
          </w:p>
        </w:tc>
        <w:tc>
          <w:tcPr>
            <w:tcW w:w="8085" w:type="dxa"/>
            <w:tcMar>
              <w:top w:w="40" w:type="dxa"/>
              <w:left w:w="40" w:type="dxa"/>
              <w:bottom w:w="40" w:type="dxa"/>
              <w:right w:w="40" w:type="dxa"/>
            </w:tcMar>
            <w:vAlign w:val="center"/>
          </w:tcPr>
          <w:p w14:paraId="7CE4C630" w14:textId="00FF270F" w:rsidR="006D3461" w:rsidRPr="006D3461" w:rsidRDefault="006D3461" w:rsidP="00A2711A">
            <w:pPr>
              <w:widowControl w:val="0"/>
              <w:spacing w:before="0" w:after="0"/>
              <w:rPr>
                <w:rFonts w:eastAsia="Arial" w:cs="Arial"/>
                <w:b/>
                <w:color w:val="00B050"/>
                <w:sz w:val="20"/>
                <w:szCs w:val="20"/>
                <w:lang w:eastAsia="en-GB"/>
              </w:rPr>
            </w:pPr>
            <w:r w:rsidRPr="00AF4909">
              <w:rPr>
                <w:rFonts w:eastAsia="Arial" w:cs="Arial"/>
                <w:b/>
                <w:color w:val="00B050"/>
                <w:sz w:val="20"/>
                <w:szCs w:val="20"/>
                <w:lang w:eastAsia="en-GB"/>
              </w:rPr>
              <w:t>Green</w:t>
            </w:r>
            <w:r w:rsidRPr="00AF4909">
              <w:rPr>
                <w:rFonts w:eastAsia="Arial" w:cs="Arial"/>
                <w:b/>
                <w:sz w:val="20"/>
                <w:szCs w:val="20"/>
                <w:lang w:eastAsia="en-GB"/>
              </w:rPr>
              <w:t>:</w:t>
            </w:r>
            <w:r w:rsidRPr="00AF4909">
              <w:rPr>
                <w:rFonts w:eastAsia="Arial" w:cs="Arial"/>
                <w:sz w:val="20"/>
                <w:szCs w:val="20"/>
                <w:lang w:eastAsia="en-GB"/>
              </w:rPr>
              <w:t xml:space="preserve"> the Milestone has been delivered to the Authority's required standard at, or before, the required Milestone Date = </w:t>
            </w:r>
            <w:r w:rsidRPr="00AF4909">
              <w:rPr>
                <w:rFonts w:eastAsia="Arial" w:cs="Arial"/>
                <w:b/>
                <w:bCs/>
                <w:sz w:val="20"/>
                <w:szCs w:val="20"/>
                <w:lang w:eastAsia="en-GB"/>
              </w:rPr>
              <w:t>100%</w:t>
            </w:r>
            <w:r w:rsidRPr="00AF4909">
              <w:rPr>
                <w:rFonts w:eastAsia="Arial" w:cs="Arial"/>
                <w:sz w:val="20"/>
                <w:szCs w:val="20"/>
                <w:lang w:eastAsia="en-GB"/>
              </w:rPr>
              <w:t xml:space="preserve"> SFI milestone payment</w:t>
            </w:r>
          </w:p>
        </w:tc>
      </w:tr>
      <w:tr w:rsidR="006D3461" w:rsidRPr="00AF4909" w14:paraId="4C9073D4" w14:textId="77777777" w:rsidTr="00A2711A">
        <w:trPr>
          <w:trHeight w:val="303"/>
        </w:trPr>
        <w:tc>
          <w:tcPr>
            <w:tcW w:w="1155" w:type="dxa"/>
            <w:vMerge/>
            <w:tcMar>
              <w:top w:w="40" w:type="dxa"/>
              <w:left w:w="40" w:type="dxa"/>
              <w:bottom w:w="40" w:type="dxa"/>
              <w:right w:w="40" w:type="dxa"/>
            </w:tcMar>
            <w:vAlign w:val="center"/>
          </w:tcPr>
          <w:p w14:paraId="4EC7DB4A" w14:textId="77777777" w:rsidR="006D3461" w:rsidRPr="00AF4909" w:rsidRDefault="006D3461" w:rsidP="00A2711A">
            <w:pPr>
              <w:widowControl w:val="0"/>
              <w:spacing w:before="0" w:after="0"/>
              <w:jc w:val="center"/>
              <w:rPr>
                <w:rFonts w:eastAsia="Arial" w:cs="Arial"/>
                <w:b/>
                <w:sz w:val="20"/>
                <w:szCs w:val="20"/>
                <w:lang w:eastAsia="en-GB"/>
              </w:rPr>
            </w:pPr>
          </w:p>
        </w:tc>
        <w:tc>
          <w:tcPr>
            <w:tcW w:w="8085" w:type="dxa"/>
            <w:tcMar>
              <w:top w:w="40" w:type="dxa"/>
              <w:left w:w="40" w:type="dxa"/>
              <w:bottom w:w="40" w:type="dxa"/>
              <w:right w:w="40" w:type="dxa"/>
            </w:tcMar>
            <w:vAlign w:val="center"/>
          </w:tcPr>
          <w:p w14:paraId="64347C46" w14:textId="067244CD" w:rsidR="006D3461" w:rsidRPr="006D3461" w:rsidRDefault="006D3461" w:rsidP="00A2711A">
            <w:pPr>
              <w:widowControl w:val="0"/>
              <w:spacing w:before="0" w:after="0"/>
              <w:rPr>
                <w:rFonts w:eastAsia="Arial" w:cs="Arial"/>
                <w:b/>
                <w:color w:val="FFC000"/>
                <w:sz w:val="20"/>
                <w:szCs w:val="20"/>
                <w:lang w:eastAsia="en-GB"/>
              </w:rPr>
            </w:pPr>
            <w:r w:rsidRPr="00AF4909">
              <w:rPr>
                <w:rFonts w:eastAsia="Arial" w:cs="Arial"/>
                <w:b/>
                <w:color w:val="FFC000"/>
                <w:sz w:val="20"/>
                <w:szCs w:val="20"/>
                <w:lang w:eastAsia="en-GB"/>
              </w:rPr>
              <w:t>Amber</w:t>
            </w:r>
            <w:r w:rsidRPr="00AF4909">
              <w:rPr>
                <w:rFonts w:eastAsia="Arial" w:cs="Arial"/>
                <w:b/>
                <w:sz w:val="20"/>
                <w:szCs w:val="20"/>
                <w:lang w:eastAsia="en-GB"/>
              </w:rPr>
              <w:t>:</w:t>
            </w:r>
            <w:r w:rsidRPr="00AF4909">
              <w:rPr>
                <w:rFonts w:eastAsia="Arial" w:cs="Arial"/>
                <w:sz w:val="20"/>
                <w:szCs w:val="20"/>
                <w:lang w:eastAsia="en-GB"/>
              </w:rPr>
              <w:t xml:space="preserve">  the Milestone has been delivered to Authority’s required</w:t>
            </w:r>
            <w:r w:rsidRPr="00AF4909" w:rsidDel="004D5112">
              <w:rPr>
                <w:rFonts w:eastAsia="Arial" w:cs="Arial"/>
                <w:sz w:val="20"/>
                <w:szCs w:val="20"/>
                <w:lang w:eastAsia="en-GB"/>
              </w:rPr>
              <w:t xml:space="preserve"> </w:t>
            </w:r>
            <w:r w:rsidRPr="00AF4909">
              <w:rPr>
                <w:rFonts w:eastAsia="Arial" w:cs="Arial"/>
                <w:sz w:val="20"/>
                <w:szCs w:val="20"/>
                <w:lang w:eastAsia="en-GB"/>
              </w:rPr>
              <w:t xml:space="preserve">standard after but within 20 working days of the required Milestone date = </w:t>
            </w:r>
            <w:r w:rsidRPr="00AF4909">
              <w:rPr>
                <w:rFonts w:eastAsia="Arial" w:cs="Arial"/>
                <w:b/>
                <w:bCs/>
                <w:sz w:val="20"/>
                <w:szCs w:val="20"/>
                <w:lang w:eastAsia="en-GB"/>
              </w:rPr>
              <w:t xml:space="preserve">75% </w:t>
            </w:r>
            <w:r w:rsidRPr="00AF4909">
              <w:rPr>
                <w:rFonts w:eastAsia="Arial" w:cs="Arial"/>
                <w:sz w:val="20"/>
                <w:szCs w:val="20"/>
                <w:lang w:eastAsia="en-GB"/>
              </w:rPr>
              <w:t>SFI milestone payment</w:t>
            </w:r>
          </w:p>
        </w:tc>
      </w:tr>
      <w:tr w:rsidR="006D3461" w:rsidRPr="00AF4909" w14:paraId="15FE2BC6" w14:textId="77777777" w:rsidTr="00A2711A">
        <w:trPr>
          <w:trHeight w:val="303"/>
        </w:trPr>
        <w:tc>
          <w:tcPr>
            <w:tcW w:w="1155" w:type="dxa"/>
            <w:vMerge/>
            <w:tcMar>
              <w:top w:w="40" w:type="dxa"/>
              <w:left w:w="40" w:type="dxa"/>
              <w:bottom w:w="40" w:type="dxa"/>
              <w:right w:w="40" w:type="dxa"/>
            </w:tcMar>
            <w:vAlign w:val="center"/>
          </w:tcPr>
          <w:p w14:paraId="5020A2EF" w14:textId="331692EA" w:rsidR="006D3461" w:rsidRPr="00AF4909" w:rsidRDefault="006D3461" w:rsidP="00A2711A">
            <w:pPr>
              <w:widowControl w:val="0"/>
              <w:spacing w:before="0" w:after="0"/>
              <w:jc w:val="center"/>
              <w:rPr>
                <w:rFonts w:eastAsia="Arial" w:cs="Arial"/>
                <w:b/>
                <w:sz w:val="20"/>
                <w:szCs w:val="20"/>
                <w:lang w:eastAsia="en-GB"/>
              </w:rPr>
            </w:pPr>
          </w:p>
        </w:tc>
        <w:tc>
          <w:tcPr>
            <w:tcW w:w="8085" w:type="dxa"/>
            <w:tcMar>
              <w:top w:w="40" w:type="dxa"/>
              <w:left w:w="40" w:type="dxa"/>
              <w:bottom w:w="40" w:type="dxa"/>
              <w:right w:w="40" w:type="dxa"/>
            </w:tcMar>
            <w:vAlign w:val="center"/>
          </w:tcPr>
          <w:p w14:paraId="0F17900E" w14:textId="41A21D3E" w:rsidR="006D3461" w:rsidRPr="00AF4909" w:rsidRDefault="006D3461" w:rsidP="00A2711A">
            <w:pPr>
              <w:widowControl w:val="0"/>
              <w:spacing w:before="0" w:after="0"/>
              <w:rPr>
                <w:rFonts w:eastAsia="Arial" w:cs="Arial"/>
                <w:sz w:val="20"/>
                <w:szCs w:val="20"/>
                <w:lang w:eastAsia="en-GB"/>
              </w:rPr>
            </w:pPr>
            <w:r w:rsidRPr="00AF4909">
              <w:rPr>
                <w:rFonts w:eastAsia="Arial" w:cs="Arial"/>
                <w:b/>
                <w:color w:val="FF0000"/>
                <w:sz w:val="20"/>
                <w:szCs w:val="20"/>
                <w:lang w:eastAsia="en-GB"/>
              </w:rPr>
              <w:t>Red:</w:t>
            </w:r>
            <w:r w:rsidRPr="00AF4909">
              <w:rPr>
                <w:rFonts w:eastAsia="Arial" w:cs="Arial"/>
                <w:color w:val="FF0000"/>
                <w:sz w:val="20"/>
                <w:szCs w:val="20"/>
                <w:lang w:eastAsia="en-GB"/>
              </w:rPr>
              <w:t xml:space="preserve"> </w:t>
            </w:r>
            <w:r w:rsidRPr="00AF4909">
              <w:rPr>
                <w:rFonts w:eastAsia="Arial" w:cs="Arial"/>
                <w:sz w:val="20"/>
                <w:szCs w:val="20"/>
                <w:lang w:eastAsia="en-GB"/>
              </w:rPr>
              <w:t xml:space="preserve"> the Milestone has been delivered more than 20 working days post-required date, or is not delivered to the Authority's required standard = </w:t>
            </w:r>
            <w:r w:rsidRPr="00AF4909">
              <w:rPr>
                <w:rFonts w:eastAsia="Arial" w:cs="Arial"/>
                <w:b/>
                <w:bCs/>
                <w:sz w:val="20"/>
                <w:szCs w:val="20"/>
                <w:lang w:eastAsia="en-GB"/>
              </w:rPr>
              <w:t>0%</w:t>
            </w:r>
            <w:r w:rsidRPr="00AF4909">
              <w:rPr>
                <w:rFonts w:eastAsia="Arial" w:cs="Arial"/>
                <w:sz w:val="20"/>
                <w:szCs w:val="20"/>
                <w:lang w:eastAsia="en-GB"/>
              </w:rPr>
              <w:t xml:space="preserve"> SFI milestone payment</w:t>
            </w:r>
          </w:p>
        </w:tc>
      </w:tr>
    </w:tbl>
    <w:p w14:paraId="0230A2A5" w14:textId="723175A9" w:rsidR="00EF0BAC" w:rsidRDefault="00EF0BAC" w:rsidP="00EF0BAC">
      <w:pPr>
        <w:pStyle w:val="Caption"/>
      </w:pPr>
      <w:bookmarkStart w:id="29" w:name="_Toc198818625"/>
      <w:r>
        <w:t xml:space="preserve">Table </w:t>
      </w:r>
      <w:r>
        <w:fldChar w:fldCharType="begin"/>
      </w:r>
      <w:r>
        <w:instrText xml:space="preserve"> SEQ Table \* ARABIC </w:instrText>
      </w:r>
      <w:r>
        <w:fldChar w:fldCharType="separate"/>
      </w:r>
      <w:r w:rsidR="00F033CC">
        <w:rPr>
          <w:noProof/>
        </w:rPr>
        <w:t>3</w:t>
      </w:r>
      <w:r>
        <w:fldChar w:fldCharType="end"/>
      </w:r>
      <w:r>
        <w:t xml:space="preserve">: </w:t>
      </w:r>
      <w:r w:rsidR="003857B1" w:rsidRPr="003857B1">
        <w:t>SFI Retention</w:t>
      </w:r>
      <w:bookmarkEnd w:id="29"/>
    </w:p>
    <w:p w14:paraId="02D81066" w14:textId="6276CA02" w:rsidR="00B02764" w:rsidRDefault="00B02764" w:rsidP="00A75F47">
      <w:pPr>
        <w:pStyle w:val="Heading21"/>
      </w:pPr>
      <w:bookmarkStart w:id="30" w:name="_Toc198818608"/>
      <w:r>
        <w:t>Preventing sustained poor performance</w:t>
      </w:r>
      <w:bookmarkEnd w:id="30"/>
    </w:p>
    <w:p w14:paraId="35F9C8C9" w14:textId="1737B914" w:rsidR="00B02764" w:rsidRDefault="00B02764" w:rsidP="00B02764">
      <w:r>
        <w:t>In cases of persistent poor performance</w:t>
      </w:r>
      <w:r w:rsidR="000123C7">
        <w:t>,</w:t>
      </w:r>
      <w:r>
        <w:t xml:space="preserve"> where the Authority has advised the SCDP of the poor performance, and provided the SCDP an opportunity to rectify the performance, within a reasonable period</w:t>
      </w:r>
      <w:r w:rsidR="42AD1548">
        <w:t xml:space="preserve"> (to be set out in the conditions of contract)</w:t>
      </w:r>
      <w:r>
        <w:t xml:space="preserve">, the Authority will reserve the right to: </w:t>
      </w:r>
    </w:p>
    <w:p w14:paraId="5AADF420" w14:textId="070029A4" w:rsidR="00B02764" w:rsidRDefault="00B02764" w:rsidP="00A75F47">
      <w:pPr>
        <w:pStyle w:val="ListParagraph"/>
        <w:numPr>
          <w:ilvl w:val="0"/>
          <w:numId w:val="25"/>
        </w:numPr>
        <w:ind w:hanging="357"/>
        <w:contextualSpacing w:val="0"/>
      </w:pPr>
      <w:r>
        <w:t>Retain the full annual SFI Retention</w:t>
      </w:r>
    </w:p>
    <w:p w14:paraId="5E7B486A" w14:textId="32F0B920" w:rsidR="00B02764" w:rsidRDefault="00B02764" w:rsidP="00A75F47">
      <w:pPr>
        <w:pStyle w:val="ListParagraph"/>
        <w:numPr>
          <w:ilvl w:val="0"/>
          <w:numId w:val="25"/>
        </w:numPr>
        <w:ind w:hanging="357"/>
        <w:contextualSpacing w:val="0"/>
      </w:pPr>
      <w:r>
        <w:t>Re-assign Task Order scope to an alternative contractor</w:t>
      </w:r>
    </w:p>
    <w:p w14:paraId="3A95EDB7" w14:textId="49408B15" w:rsidR="00B02764" w:rsidRDefault="00B02764" w:rsidP="00A75F47">
      <w:pPr>
        <w:pStyle w:val="ListParagraph"/>
        <w:numPr>
          <w:ilvl w:val="0"/>
          <w:numId w:val="25"/>
        </w:numPr>
        <w:ind w:hanging="357"/>
        <w:contextualSpacing w:val="0"/>
      </w:pPr>
      <w:r>
        <w:t>Terminate the Contract</w:t>
      </w:r>
    </w:p>
    <w:p w14:paraId="6A2EB0B5" w14:textId="72E34015" w:rsidR="00446148" w:rsidRDefault="00B02764" w:rsidP="00B02764">
      <w:r>
        <w:t>These outcomes will be explicitly set out in the conditions of contract. Further detail on these proposed mechanics will be provided separately in due course.</w:t>
      </w:r>
    </w:p>
    <w:p w14:paraId="213BC414" w14:textId="77777777" w:rsidR="00446148" w:rsidRDefault="00446148" w:rsidP="00A17C2C"/>
    <w:p w14:paraId="00B836C0" w14:textId="77777777" w:rsidR="00446148" w:rsidRDefault="00446148" w:rsidP="00A17C2C"/>
    <w:p w14:paraId="640A3F1A" w14:textId="77777777" w:rsidR="00446148" w:rsidRPr="00AA0F2E" w:rsidRDefault="00446148" w:rsidP="00A17C2C"/>
    <w:p w14:paraId="2677DAA1" w14:textId="018F09CB" w:rsidR="00342391" w:rsidRDefault="00D96F30" w:rsidP="0000001A">
      <w:pPr>
        <w:pStyle w:val="Heading11"/>
      </w:pPr>
      <w:bookmarkStart w:id="31" w:name="_Toc198818609"/>
      <w:r>
        <w:lastRenderedPageBreak/>
        <w:t>SFI FAQs</w:t>
      </w:r>
      <w:bookmarkEnd w:id="31"/>
    </w:p>
    <w:p w14:paraId="2C1B610D" w14:textId="006A01D5" w:rsidR="002C17BE" w:rsidRDefault="001A7E95" w:rsidP="001A7E95">
      <w:pPr>
        <w:pStyle w:val="Heading21"/>
      </w:pPr>
      <w:bookmarkStart w:id="32" w:name="_Toc198818610"/>
      <w:r w:rsidRPr="001A7E95">
        <w:t>General - Milestones &amp; KPIs</w:t>
      </w:r>
      <w:bookmarkEnd w:id="32"/>
    </w:p>
    <w:p w14:paraId="2E24606C" w14:textId="77777777" w:rsidR="00B05B0D" w:rsidRDefault="00B05B0D" w:rsidP="00B05B0D">
      <w:pPr>
        <w:pStyle w:val="Heading31"/>
      </w:pPr>
      <w:bookmarkStart w:id="33" w:name="_Toc198818611"/>
      <w:r>
        <w:t>Will all KPIs and Milestones be incentivised?</w:t>
      </w:r>
      <w:bookmarkEnd w:id="33"/>
    </w:p>
    <w:p w14:paraId="4493CC87" w14:textId="77777777" w:rsidR="00B05B0D" w:rsidRDefault="00B05B0D" w:rsidP="00B05B0D">
      <w:r>
        <w:t>The KPIs will be incorporated into the Contract to measure various aspects of the SCDP's performance. Not all KPIs and TLIs will be the subject of the SFI mechanics. Non-SFI TLIs will still be measured and subject to performance management – see section on contractual implications of Non-SFI TLIs further down this paper.  Please see the Performance Metrics spreadsheet for details of the proposed Non-SFI TLIs.</w:t>
      </w:r>
    </w:p>
    <w:p w14:paraId="0B787694" w14:textId="066AFB74" w:rsidR="00A669D4" w:rsidRDefault="00B05B0D" w:rsidP="00B05B0D">
      <w:r>
        <w:t>All Milestones identified in the Task Order as incentivised Milestones will attract release of the applicable Milestone SFI Retention upon successful achievement/meeting the required criteria. The number of Milestones will vary depending on the nature of the Task Order.</w:t>
      </w:r>
    </w:p>
    <w:p w14:paraId="5E8D9956" w14:textId="77777777" w:rsidR="00B519F8" w:rsidRDefault="00B519F8" w:rsidP="00B519F8">
      <w:pPr>
        <w:pStyle w:val="Heading31"/>
      </w:pPr>
      <w:bookmarkStart w:id="34" w:name="_Toc198818612"/>
      <w:r>
        <w:t>Will the measures/thresholds/metrics change across the duration of the contract?</w:t>
      </w:r>
      <w:bookmarkEnd w:id="34"/>
    </w:p>
    <w:p w14:paraId="3496B5EC" w14:textId="7757FF63" w:rsidR="00B519F8" w:rsidRDefault="00B519F8" w:rsidP="00B519F8">
      <w:r>
        <w:t xml:space="preserve">The Authority will be entitled (but with no obligation) to review and update the detailed TLIs, Milestones, and, applicable RAG rating descriptors, on an annual basis.  The Authority will consult with the SCDP prior to making any such changes, and the SCDP will have a right to object if a change proposed by the Authority would have a material adverse effect on the SCDP's risk profile under the Contract.  </w:t>
      </w:r>
    </w:p>
    <w:p w14:paraId="14CDE6E5" w14:textId="77777777" w:rsidR="00B519F8" w:rsidRDefault="00B519F8" w:rsidP="00B519F8">
      <w:pPr>
        <w:pStyle w:val="Heading31"/>
      </w:pPr>
      <w:bookmarkStart w:id="35" w:name="_Toc198818613"/>
      <w:r>
        <w:t>What happens if poor performance is not the fault of the SCDP?</w:t>
      </w:r>
      <w:bookmarkEnd w:id="35"/>
    </w:p>
    <w:p w14:paraId="283D29B2" w14:textId="3A1F8F99" w:rsidR="001A7E95" w:rsidRDefault="00B519F8" w:rsidP="00B519F8">
      <w:r>
        <w:t xml:space="preserve">The SCDP will be relieved of "poor performance" where the failure has arisen as a result of specified matters (compensation events) which are outside the control of the SCDP.  These will be clearly identified in the Contract.  Milestones, schedules and budgets will also be adjusted as applicable where "changes" or "compensation events" are provided for in the Contract.    </w:t>
      </w:r>
    </w:p>
    <w:p w14:paraId="2C8A6FAC" w14:textId="734B291D" w:rsidR="001A7E95" w:rsidRDefault="00B10515" w:rsidP="00B10515">
      <w:pPr>
        <w:pStyle w:val="Heading21"/>
      </w:pPr>
      <w:bookmarkStart w:id="36" w:name="_Toc198818614"/>
      <w:r w:rsidRPr="00B10515">
        <w:t>Performance KPI</w:t>
      </w:r>
      <w:bookmarkEnd w:id="36"/>
    </w:p>
    <w:p w14:paraId="6ECAB03D" w14:textId="77777777" w:rsidR="00347133" w:rsidRDefault="00347133" w:rsidP="00347133">
      <w:pPr>
        <w:pStyle w:val="Heading31"/>
      </w:pPr>
      <w:bookmarkStart w:id="37" w:name="_Toc198818615"/>
      <w:r>
        <w:t>What happens if a TLI is not applicable for a particular Task Order?</w:t>
      </w:r>
      <w:bookmarkEnd w:id="37"/>
    </w:p>
    <w:p w14:paraId="3608599F" w14:textId="77777777" w:rsidR="00B27E46" w:rsidRDefault="00347133" w:rsidP="00347133">
      <w:r>
        <w:t xml:space="preserve">It is believed that the identified TLIs will be applicable to most Task Orders. Where a TLI is deemed to be not applicable then it will be identified as not applicable in the relevant Task Order Form. To enable comparison of Task Order scores and to ensure that a fair, consistent points and RAG score can be applied periodically, the points available will be normalised into a score out of 240. This will work as shown in the following example: </w:t>
      </w:r>
    </w:p>
    <w:p w14:paraId="29676A01" w14:textId="1579597D" w:rsidR="00347133" w:rsidRDefault="00347133" w:rsidP="00347133">
      <w:pPr>
        <w:pStyle w:val="ListParagraph"/>
        <w:numPr>
          <w:ilvl w:val="0"/>
          <w:numId w:val="25"/>
        </w:numPr>
        <w:ind w:hanging="357"/>
        <w:contextualSpacing w:val="0"/>
      </w:pPr>
      <w:r w:rsidRPr="00652FEB">
        <w:rPr>
          <w:b/>
          <w:bCs/>
        </w:rPr>
        <w:t>Environmental</w:t>
      </w:r>
      <w:r>
        <w:t xml:space="preserve"> TLI (30 points) is not applicable to Task Order 1. </w:t>
      </w:r>
    </w:p>
    <w:p w14:paraId="7F5A6DAB" w14:textId="79822DD7" w:rsidR="00347133" w:rsidRDefault="00347133" w:rsidP="00347133">
      <w:pPr>
        <w:pStyle w:val="ListParagraph"/>
        <w:numPr>
          <w:ilvl w:val="0"/>
          <w:numId w:val="25"/>
        </w:numPr>
        <w:ind w:hanging="357"/>
        <w:contextualSpacing w:val="0"/>
      </w:pPr>
      <w:r>
        <w:t xml:space="preserve">Total points available for Task Order 1 drops to </w:t>
      </w:r>
      <w:r w:rsidRPr="00822BE5">
        <w:rPr>
          <w:b/>
          <w:bCs/>
        </w:rPr>
        <w:t>210</w:t>
      </w:r>
      <w:r>
        <w:t xml:space="preserve"> each month. </w:t>
      </w:r>
    </w:p>
    <w:p w14:paraId="4B2E39FF" w14:textId="42E5FC3E" w:rsidR="00347133" w:rsidRDefault="00347133" w:rsidP="00347133">
      <w:pPr>
        <w:pStyle w:val="ListParagraph"/>
        <w:numPr>
          <w:ilvl w:val="0"/>
          <w:numId w:val="25"/>
        </w:numPr>
        <w:ind w:hanging="357"/>
        <w:contextualSpacing w:val="0"/>
      </w:pPr>
      <w:r>
        <w:t>SCDP scores 170 out of 210 (</w:t>
      </w:r>
      <w:r w:rsidRPr="008F5347">
        <w:rPr>
          <w:b/>
          <w:bCs/>
        </w:rPr>
        <w:t>80.9%)</w:t>
      </w:r>
      <w:r>
        <w:t xml:space="preserve"> in January for the categories that are measured.</w:t>
      </w:r>
    </w:p>
    <w:p w14:paraId="30D91096" w14:textId="13643735" w:rsidR="001A7E95" w:rsidRDefault="00347133" w:rsidP="00347133">
      <w:pPr>
        <w:pStyle w:val="ListParagraph"/>
        <w:numPr>
          <w:ilvl w:val="0"/>
          <w:numId w:val="25"/>
        </w:numPr>
        <w:ind w:hanging="357"/>
        <w:contextualSpacing w:val="0"/>
      </w:pPr>
      <w:r>
        <w:t xml:space="preserve">80.9% of 240 = </w:t>
      </w:r>
      <w:r w:rsidRPr="00652FEB">
        <w:rPr>
          <w:b/>
          <w:bCs/>
        </w:rPr>
        <w:t>194 points</w:t>
      </w:r>
      <w:r>
        <w:t xml:space="preserve"> which is the score assigned to Task Order 1 for that month.</w:t>
      </w:r>
    </w:p>
    <w:p w14:paraId="65060F86" w14:textId="77777777" w:rsidR="00B27E46" w:rsidRDefault="00B27E46" w:rsidP="00B27E46">
      <w:pPr>
        <w:pStyle w:val="ListParagraph"/>
        <w:contextualSpacing w:val="0"/>
      </w:pPr>
    </w:p>
    <w:p w14:paraId="5F138375" w14:textId="77777777" w:rsidR="00636168" w:rsidRDefault="00636168" w:rsidP="00636168">
      <w:pPr>
        <w:pStyle w:val="Heading31"/>
      </w:pPr>
      <w:bookmarkStart w:id="38" w:name="_Toc198818616"/>
      <w:r>
        <w:t>Which score will be applied in months where no deliverable is due/it is not possible to score a TLI?</w:t>
      </w:r>
      <w:bookmarkEnd w:id="38"/>
    </w:p>
    <w:p w14:paraId="0AA6FC0B" w14:textId="77777777" w:rsidR="00636168" w:rsidRDefault="00636168" w:rsidP="00636168">
      <w:r>
        <w:t xml:space="preserve">In circumstances where a TLI is assigned to a Task Order, but no deliverable is due, or an assessment is not possible, a ‘Green’ score will be applied for the given month. </w:t>
      </w:r>
    </w:p>
    <w:p w14:paraId="3B932F08" w14:textId="77777777" w:rsidR="00636168" w:rsidRDefault="00636168" w:rsidP="00636168">
      <w:pPr>
        <w:pStyle w:val="Heading31"/>
      </w:pPr>
      <w:bookmarkStart w:id="39" w:name="_Toc198818617"/>
      <w:r>
        <w:lastRenderedPageBreak/>
        <w:t>How many months does a Task Order need to be live for it to be included in the Performance KPI calculation?</w:t>
      </w:r>
      <w:bookmarkEnd w:id="39"/>
      <w:r>
        <w:t xml:space="preserve"> </w:t>
      </w:r>
    </w:p>
    <w:p w14:paraId="1880219F" w14:textId="77777777" w:rsidR="00636168" w:rsidRDefault="00636168" w:rsidP="00636168">
      <w:r>
        <w:t xml:space="preserve">A Task Order will be included in the end of year Performance KPI calculation where at least one full month of performance has been captured. Where less than a month of work has been performed, the Task Order will not be included in the end of year score. </w:t>
      </w:r>
    </w:p>
    <w:p w14:paraId="5FF80DE1" w14:textId="18ECAA22" w:rsidR="005568E6" w:rsidRPr="002C17BE" w:rsidRDefault="00636168" w:rsidP="002C17BE">
      <w:r>
        <w:t>Where at least one month of performance scores have been captured, the score achieved will be included within the calculation of the relevant quarterly score.</w:t>
      </w:r>
    </w:p>
    <w:p w14:paraId="1061A432" w14:textId="124A7CD6" w:rsidR="00840D9E" w:rsidRDefault="005972D0" w:rsidP="005972D0">
      <w:pPr>
        <w:pStyle w:val="Heading11"/>
      </w:pPr>
      <w:bookmarkStart w:id="40" w:name="_Toc198818618"/>
      <w:r w:rsidRPr="005972D0">
        <w:lastRenderedPageBreak/>
        <w:t>Contract Implications</w:t>
      </w:r>
      <w:bookmarkEnd w:id="40"/>
    </w:p>
    <w:p w14:paraId="2942DD11" w14:textId="77777777" w:rsidR="00091A89" w:rsidRDefault="00091A89" w:rsidP="00091A89">
      <w:pPr>
        <w:pStyle w:val="Heading21"/>
      </w:pPr>
      <w:bookmarkStart w:id="41" w:name="_Toc198818619"/>
      <w:r>
        <w:t>What will be set within the ITT and contract schedules?</w:t>
      </w:r>
      <w:bookmarkEnd w:id="41"/>
    </w:p>
    <w:p w14:paraId="052798C4" w14:textId="77777777" w:rsidR="00091A89" w:rsidRDefault="00091A89" w:rsidP="00091A89">
      <w:r>
        <w:t xml:space="preserve">The intention is that the following aspects will be set as part of the ITT and contract: </w:t>
      </w:r>
    </w:p>
    <w:p w14:paraId="667E117C" w14:textId="1B5D6047" w:rsidR="00091A89" w:rsidRDefault="00091A89" w:rsidP="00091A89">
      <w:pPr>
        <w:pStyle w:val="ListParagraph"/>
        <w:numPr>
          <w:ilvl w:val="0"/>
          <w:numId w:val="25"/>
        </w:numPr>
        <w:ind w:hanging="357"/>
        <w:contextualSpacing w:val="0"/>
      </w:pPr>
      <w:r>
        <w:t>SFI Retention percentage (10%)</w:t>
      </w:r>
    </w:p>
    <w:p w14:paraId="0D71BA76" w14:textId="78E23EBF" w:rsidR="00091A89" w:rsidRDefault="00091A89" w:rsidP="00091A89">
      <w:pPr>
        <w:pStyle w:val="ListParagraph"/>
        <w:numPr>
          <w:ilvl w:val="0"/>
          <w:numId w:val="25"/>
        </w:numPr>
        <w:ind w:hanging="357"/>
        <w:contextualSpacing w:val="0"/>
      </w:pPr>
      <w:r>
        <w:t xml:space="preserve">KPIs </w:t>
      </w:r>
    </w:p>
    <w:p w14:paraId="5F0AF05F" w14:textId="5BCBD203" w:rsidR="00091A89" w:rsidRDefault="00091A89" w:rsidP="00091A89">
      <w:pPr>
        <w:pStyle w:val="ListParagraph"/>
        <w:numPr>
          <w:ilvl w:val="0"/>
          <w:numId w:val="25"/>
        </w:numPr>
        <w:ind w:hanging="357"/>
        <w:contextualSpacing w:val="0"/>
      </w:pPr>
      <w:r>
        <w:t xml:space="preserve">TLI (SFI and Non-SFI) metrics &amp; thresholds </w:t>
      </w:r>
    </w:p>
    <w:p w14:paraId="245117A2" w14:textId="2697F505" w:rsidR="00D2247D" w:rsidRDefault="00091A89" w:rsidP="00091A89">
      <w:pPr>
        <w:pStyle w:val="ListParagraph"/>
        <w:numPr>
          <w:ilvl w:val="0"/>
          <w:numId w:val="25"/>
        </w:numPr>
        <w:ind w:hanging="357"/>
        <w:contextualSpacing w:val="0"/>
      </w:pPr>
      <w:r>
        <w:t>Reporting requirements</w:t>
      </w:r>
    </w:p>
    <w:p w14:paraId="4D4C2426" w14:textId="77777777" w:rsidR="007332EF" w:rsidRDefault="007332EF" w:rsidP="007332EF">
      <w:pPr>
        <w:pStyle w:val="Heading21"/>
      </w:pPr>
      <w:bookmarkStart w:id="42" w:name="_Toc198818620"/>
      <w:r>
        <w:t>Non-SFI TLIs and the Payment KPI (performance management clauses)</w:t>
      </w:r>
      <w:bookmarkEnd w:id="42"/>
    </w:p>
    <w:p w14:paraId="7D13AC3A" w14:textId="77777777" w:rsidR="007332EF" w:rsidRDefault="007332EF" w:rsidP="007332EF">
      <w:r>
        <w:t xml:space="preserve">Non-SFI TLIs and the Payment KPI will remain vitally important to gain a holistic view of SCDP performance in the context of the programme objectives. Although no financial downside will be associated with failing to achieve targets/thresholds, the Authority will operate a strict performance and contract management regime to require the SCDP to adopt corrective action in cases where performance is below the standard expected. </w:t>
      </w:r>
    </w:p>
    <w:p w14:paraId="3A6A3435" w14:textId="13B615A6" w:rsidR="007332EF" w:rsidRDefault="007332EF" w:rsidP="007332EF">
      <w:r>
        <w:t>In cases of persistent Non-SFI TLI and/or the Payment KPI poor performance and failure to take reasonable steps to put in place a remediation plan which is to the satisfaction of the Authority, the Authority will reserve the right to retain the annual reimbursement due for the incentivised Performance KPI (2.5% of the 10% SFI). Furthermore, the Authority may also elect to re-assign Task Order scope to other parties and/or terminate the contract.</w:t>
      </w:r>
    </w:p>
    <w:p w14:paraId="08F87AFF" w14:textId="0DC8BE6E" w:rsidR="23FEE6CD" w:rsidRDefault="007332EF">
      <w:r>
        <w:t xml:space="preserve">Further details will be provided on these proposed mechanics in due course. </w:t>
      </w:r>
    </w:p>
    <w:p w14:paraId="782869F9" w14:textId="5BC9BEEB" w:rsidR="5D3EE1BC" w:rsidRPr="00792D61" w:rsidRDefault="5D3EE1BC" w:rsidP="23FEE6CD">
      <w:pPr>
        <w:rPr>
          <w:b/>
          <w:bCs/>
        </w:rPr>
      </w:pPr>
      <w:r w:rsidRPr="23FEE6CD">
        <w:rPr>
          <w:b/>
          <w:bCs/>
        </w:rPr>
        <w:t xml:space="preserve">6.3 </w:t>
      </w:r>
      <w:r w:rsidR="181AC458" w:rsidRPr="00792D61">
        <w:rPr>
          <w:b/>
          <w:bCs/>
        </w:rPr>
        <w:t>Procurement Act (2023) Reporting Requirements</w:t>
      </w:r>
    </w:p>
    <w:p w14:paraId="1A320661" w14:textId="373642D4" w:rsidR="000C6237" w:rsidRDefault="007332EF" w:rsidP="007332EF">
      <w:r>
        <w:t>Section 71 of the Procurement Act 2023 requires the Authority to publish a contract performance notice every 12 months. This notice is required to contain an assessment of the SCDP's performance against the 3 KPIs (which could be incentivised and/or non-incentivised) which the Authority regards, at the time the contract performance notice is published, as most material to performance of the contract obligations.  The Authority</w:t>
      </w:r>
      <w:r w:rsidR="00E64348">
        <w:t xml:space="preserve"> currently propos</w:t>
      </w:r>
      <w:r w:rsidR="00A96C6D">
        <w:t>es</w:t>
      </w:r>
      <w:r>
        <w:t xml:space="preserve"> to publish an assessment of the SCDP's performance against the following KPIs:</w:t>
      </w:r>
    </w:p>
    <w:p w14:paraId="03D44E92" w14:textId="522787C7" w:rsidR="00812044" w:rsidRDefault="00812044" w:rsidP="00812044">
      <w:pPr>
        <w:pStyle w:val="ListParagraph"/>
        <w:numPr>
          <w:ilvl w:val="0"/>
          <w:numId w:val="26"/>
        </w:numPr>
      </w:pPr>
      <w:r>
        <w:t>Performance (SFI) KPI</w:t>
      </w:r>
    </w:p>
    <w:p w14:paraId="02D6ED11" w14:textId="4B112E03" w:rsidR="00812044" w:rsidRDefault="00812044" w:rsidP="00812044">
      <w:pPr>
        <w:pStyle w:val="ListParagraph"/>
        <w:numPr>
          <w:ilvl w:val="0"/>
          <w:numId w:val="26"/>
        </w:numPr>
      </w:pPr>
      <w:r>
        <w:t>Milestones</w:t>
      </w:r>
    </w:p>
    <w:p w14:paraId="0A5162BA" w14:textId="799B4F73" w:rsidR="00812044" w:rsidRDefault="00812044" w:rsidP="00812044">
      <w:pPr>
        <w:pStyle w:val="ListParagraph"/>
        <w:numPr>
          <w:ilvl w:val="0"/>
          <w:numId w:val="26"/>
        </w:numPr>
      </w:pPr>
      <w:r>
        <w:t>Social Value</w:t>
      </w:r>
    </w:p>
    <w:p w14:paraId="7A252F14" w14:textId="37AE8081" w:rsidR="000C6237" w:rsidRDefault="00812044" w:rsidP="00812044">
      <w:r>
        <w:t>Further details will be provided on the proposed assessment of these KPIs for the purposes of the Procurement Act 2023 in due course.</w:t>
      </w:r>
    </w:p>
    <w:p w14:paraId="3E406836" w14:textId="7B40234B" w:rsidR="6C1B8CD3" w:rsidRDefault="6C1B8CD3" w:rsidP="23FEE6CD">
      <w:pPr>
        <w:rPr>
          <w:b/>
          <w:bCs/>
        </w:rPr>
      </w:pPr>
      <w:r w:rsidRPr="00792D61">
        <w:rPr>
          <w:b/>
          <w:bCs/>
        </w:rPr>
        <w:t>6.4 Where are Costs for Monthly Reporting and Administration of the SF</w:t>
      </w:r>
      <w:r w:rsidR="009C496F">
        <w:rPr>
          <w:b/>
          <w:bCs/>
        </w:rPr>
        <w:t>I</w:t>
      </w:r>
      <w:r w:rsidRPr="00792D61">
        <w:rPr>
          <w:b/>
          <w:bCs/>
        </w:rPr>
        <w:t xml:space="preserve"> to be allocated?</w:t>
      </w:r>
    </w:p>
    <w:p w14:paraId="05636867" w14:textId="3604D507" w:rsidR="6C1B8CD3" w:rsidRDefault="6C1B8CD3">
      <w:r>
        <w:t xml:space="preserve">Costs associated with </w:t>
      </w:r>
      <w:r w:rsidR="42A0D5B9">
        <w:t>administration</w:t>
      </w:r>
      <w:r>
        <w:t xml:space="preserve"> of monthly reporting and management of the SFI and measuring, r</w:t>
      </w:r>
      <w:r w:rsidR="0757DD6B">
        <w:t xml:space="preserve">eporting etc are to be allocated to the Consultants Overhead. See the </w:t>
      </w:r>
      <w:r w:rsidR="60E9297E">
        <w:t>separate</w:t>
      </w:r>
      <w:r w:rsidR="4EC7DF61">
        <w:t xml:space="preserve"> document ‘Pricing Approach’.</w:t>
      </w:r>
    </w:p>
    <w:p w14:paraId="58322BCA" w14:textId="77777777" w:rsidR="0071305A" w:rsidRDefault="0071305A" w:rsidP="0071305A"/>
    <w:p w14:paraId="3F59B86C" w14:textId="77777777" w:rsidR="0071305A" w:rsidRDefault="0071305A" w:rsidP="0071305A"/>
    <w:p w14:paraId="049A9A55" w14:textId="77777777" w:rsidR="0071305A" w:rsidRPr="0071305A" w:rsidRDefault="0071305A" w:rsidP="0071305A"/>
    <w:p w14:paraId="19C2ECFA" w14:textId="77777777" w:rsidR="002C044B" w:rsidRDefault="002C044B" w:rsidP="002C044B"/>
    <w:p w14:paraId="3A057B0B" w14:textId="5FAC0298" w:rsidR="00427DDC" w:rsidRDefault="00427DDC" w:rsidP="00DD7FEE">
      <w:pPr>
        <w:pStyle w:val="APPENDIXHEADING"/>
      </w:pPr>
      <w:bookmarkStart w:id="43" w:name="_Toc198818621"/>
      <w:r>
        <w:lastRenderedPageBreak/>
        <w:t>Appendi</w:t>
      </w:r>
      <w:r w:rsidR="005B4AF2">
        <w:t xml:space="preserve">x A - </w:t>
      </w:r>
      <w:r w:rsidR="00FF7E0D" w:rsidRPr="00FF7E0D">
        <w:t>SFI Performance KPI – Example Scenario</w:t>
      </w:r>
      <w:bookmarkEnd w:id="43"/>
    </w:p>
    <w:p w14:paraId="208C1B71" w14:textId="2F2570C5" w:rsidR="00427DDC" w:rsidRPr="009D6AE6" w:rsidRDefault="00185425" w:rsidP="00D425FF">
      <w:r w:rsidRPr="009D6AE6">
        <w:t>Summary of Task Order and SFI characteristics informing Performance KPI scenario:</w:t>
      </w:r>
    </w:p>
    <w:p w14:paraId="2A13FD16" w14:textId="366AA7B3" w:rsidR="00460718" w:rsidRDefault="006216E4" w:rsidP="00DF2F20">
      <w:r>
        <w:rPr>
          <w:noProof/>
        </w:rPr>
        <w:drawing>
          <wp:inline distT="114300" distB="114300" distL="114300" distR="114300" wp14:anchorId="34B05ADD" wp14:editId="0B615F65">
            <wp:extent cx="5055079" cy="759124"/>
            <wp:effectExtent l="0" t="0" r="0" b="3175"/>
            <wp:docPr id="493209083" name="image6.png" descr="A table with numbers and a few words"/>
            <wp:cNvGraphicFramePr/>
            <a:graphic xmlns:a="http://schemas.openxmlformats.org/drawingml/2006/main">
              <a:graphicData uri="http://schemas.openxmlformats.org/drawingml/2006/picture">
                <pic:pic xmlns:pic="http://schemas.openxmlformats.org/drawingml/2006/picture">
                  <pic:nvPicPr>
                    <pic:cNvPr id="493209083" name="image6.png" descr="A table with numbers and a few words"/>
                    <pic:cNvPicPr preferRelativeResize="0"/>
                  </pic:nvPicPr>
                  <pic:blipFill>
                    <a:blip r:embed="rId20"/>
                    <a:srcRect/>
                    <a:stretch>
                      <a:fillRect/>
                    </a:stretch>
                  </pic:blipFill>
                  <pic:spPr>
                    <a:xfrm>
                      <a:off x="0" y="0"/>
                      <a:ext cx="5082552" cy="763250"/>
                    </a:xfrm>
                    <a:prstGeom prst="rect">
                      <a:avLst/>
                    </a:prstGeom>
                    <a:ln/>
                  </pic:spPr>
                </pic:pic>
              </a:graphicData>
            </a:graphic>
          </wp:inline>
        </w:drawing>
      </w:r>
    </w:p>
    <w:p w14:paraId="742F0CC3" w14:textId="77777777" w:rsidR="009D6AE6" w:rsidRPr="00347E1D" w:rsidRDefault="009D6AE6" w:rsidP="00347E1D">
      <w:pPr>
        <w:rPr>
          <w:rFonts w:eastAsia="Arial"/>
          <w:b/>
          <w:bCs/>
          <w:lang w:eastAsia="en-GB"/>
        </w:rPr>
      </w:pPr>
      <w:r w:rsidRPr="00347E1D">
        <w:rPr>
          <w:rFonts w:eastAsia="Arial"/>
          <w:b/>
          <w:bCs/>
          <w:lang w:eastAsia="en-GB"/>
        </w:rPr>
        <w:t>Performance KPI - points scoring thresholds:</w:t>
      </w:r>
    </w:p>
    <w:p w14:paraId="5F4E693D" w14:textId="147A1246" w:rsidR="00460718" w:rsidRDefault="00BD7ABB" w:rsidP="00DF2F20">
      <w:r w:rsidRPr="00B1771B">
        <w:rPr>
          <w:noProof/>
        </w:rPr>
        <w:drawing>
          <wp:inline distT="0" distB="0" distL="0" distR="0" wp14:anchorId="2A1BD1E9" wp14:editId="5E83807C">
            <wp:extent cx="4218317" cy="851064"/>
            <wp:effectExtent l="0" t="0" r="0" b="6350"/>
            <wp:docPr id="392336800"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336800" name="Picture 1" descr="A screen shot of a graph&#10;&#10;AI-generated content may be incorrect."/>
                    <pic:cNvPicPr/>
                  </pic:nvPicPr>
                  <pic:blipFill>
                    <a:blip r:embed="rId21"/>
                    <a:stretch>
                      <a:fillRect/>
                    </a:stretch>
                  </pic:blipFill>
                  <pic:spPr>
                    <a:xfrm>
                      <a:off x="0" y="0"/>
                      <a:ext cx="4247110" cy="856873"/>
                    </a:xfrm>
                    <a:prstGeom prst="rect">
                      <a:avLst/>
                    </a:prstGeom>
                  </pic:spPr>
                </pic:pic>
              </a:graphicData>
            </a:graphic>
          </wp:inline>
        </w:drawing>
      </w:r>
    </w:p>
    <w:p w14:paraId="366E71AF" w14:textId="77777777" w:rsidR="000A71F2" w:rsidRPr="00347E1D" w:rsidRDefault="000A71F2" w:rsidP="00D425FF">
      <w:pPr>
        <w:rPr>
          <w:rFonts w:eastAsia="Arial"/>
          <w:b/>
          <w:bCs/>
          <w:lang w:eastAsia="en-GB"/>
        </w:rPr>
      </w:pPr>
      <w:r w:rsidRPr="00347E1D">
        <w:rPr>
          <w:rFonts w:eastAsia="Arial"/>
          <w:b/>
          <w:bCs/>
          <w:lang w:eastAsia="en-GB"/>
        </w:rPr>
        <w:t>Performance KPI - Example of Monthly TLI scoring:</w:t>
      </w:r>
    </w:p>
    <w:p w14:paraId="460C189F" w14:textId="09314B88" w:rsidR="000A71F2" w:rsidRPr="000A71F2" w:rsidRDefault="000A71F2" w:rsidP="00D425FF">
      <w:pPr>
        <w:rPr>
          <w:rFonts w:eastAsia="Arial"/>
          <w:szCs w:val="22"/>
          <w:lang w:eastAsia="en-GB"/>
        </w:rPr>
      </w:pPr>
      <w:r w:rsidRPr="000A71F2">
        <w:rPr>
          <w:rFonts w:eastAsia="Arial"/>
          <w:lang w:eastAsia="en-GB"/>
        </w:rPr>
        <w:t>In this scenario, based on the scores attained, no rules were applied (6 month view of scores):</w:t>
      </w:r>
    </w:p>
    <w:p w14:paraId="44D0A8CD" w14:textId="19862860" w:rsidR="00460718" w:rsidRDefault="00347E1D" w:rsidP="00DF2F20">
      <w:r w:rsidRPr="00DF6BCD">
        <w:rPr>
          <w:noProof/>
        </w:rPr>
        <w:drawing>
          <wp:inline distT="0" distB="0" distL="0" distR="0" wp14:anchorId="4AC7BD25" wp14:editId="0B60E3BD">
            <wp:extent cx="5727939" cy="1533941"/>
            <wp:effectExtent l="0" t="0" r="6350" b="9525"/>
            <wp:docPr id="816092299" name="Picture 1" descr="A table with numb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092299" name="Picture 1" descr="A table with numbers and numbers&#10;&#10;AI-generated content may be incorrect."/>
                    <pic:cNvPicPr/>
                  </pic:nvPicPr>
                  <pic:blipFill>
                    <a:blip r:embed="rId22"/>
                    <a:stretch>
                      <a:fillRect/>
                    </a:stretch>
                  </pic:blipFill>
                  <pic:spPr>
                    <a:xfrm>
                      <a:off x="0" y="0"/>
                      <a:ext cx="5742771" cy="1537913"/>
                    </a:xfrm>
                    <a:prstGeom prst="rect">
                      <a:avLst/>
                    </a:prstGeom>
                  </pic:spPr>
                </pic:pic>
              </a:graphicData>
            </a:graphic>
          </wp:inline>
        </w:drawing>
      </w:r>
    </w:p>
    <w:p w14:paraId="04EF6AD2" w14:textId="77777777" w:rsidR="00DF2F20" w:rsidRPr="00DF2F20" w:rsidRDefault="00DF2F20" w:rsidP="00D425FF">
      <w:pPr>
        <w:rPr>
          <w:rFonts w:eastAsia="Arial"/>
          <w:b/>
          <w:bCs/>
          <w:lang w:eastAsia="en-GB"/>
        </w:rPr>
      </w:pPr>
      <w:r w:rsidRPr="00DF2F20">
        <w:rPr>
          <w:rFonts w:eastAsia="Arial"/>
          <w:b/>
          <w:bCs/>
          <w:lang w:eastAsia="en-GB"/>
        </w:rPr>
        <w:t>Example Monthly TLI performance aggregated into Quarterly and Annual scores</w:t>
      </w:r>
    </w:p>
    <w:p w14:paraId="5E019A65" w14:textId="71D0D465" w:rsidR="00460718" w:rsidRDefault="008F6BF1" w:rsidP="002C044B">
      <w:r w:rsidRPr="00D051D1">
        <w:rPr>
          <w:noProof/>
        </w:rPr>
        <w:drawing>
          <wp:inline distT="0" distB="0" distL="0" distR="0" wp14:anchorId="73711B6D" wp14:editId="5BCA6F50">
            <wp:extent cx="2907102" cy="2669788"/>
            <wp:effectExtent l="0" t="0" r="7620" b="0"/>
            <wp:docPr id="1381392791" name="Picture 1" descr="A table with numbers and a number of tas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92791" name="Picture 1" descr="A table with numbers and a number of tasks"/>
                    <pic:cNvPicPr/>
                  </pic:nvPicPr>
                  <pic:blipFill>
                    <a:blip r:embed="rId23"/>
                    <a:stretch>
                      <a:fillRect/>
                    </a:stretch>
                  </pic:blipFill>
                  <pic:spPr>
                    <a:xfrm>
                      <a:off x="0" y="0"/>
                      <a:ext cx="2914747" cy="2676809"/>
                    </a:xfrm>
                    <a:prstGeom prst="rect">
                      <a:avLst/>
                    </a:prstGeom>
                  </pic:spPr>
                </pic:pic>
              </a:graphicData>
            </a:graphic>
          </wp:inline>
        </w:drawing>
      </w:r>
    </w:p>
    <w:p w14:paraId="7ED56106" w14:textId="77777777" w:rsidR="00792D61" w:rsidRDefault="00792D61" w:rsidP="002C044B">
      <w:pPr>
        <w:rPr>
          <w:b/>
          <w:bCs/>
        </w:rPr>
      </w:pPr>
    </w:p>
    <w:p w14:paraId="4AB76D02" w14:textId="77777777" w:rsidR="00792D61" w:rsidRDefault="00792D61" w:rsidP="002C044B">
      <w:pPr>
        <w:rPr>
          <w:b/>
          <w:bCs/>
        </w:rPr>
      </w:pPr>
    </w:p>
    <w:p w14:paraId="2E28FD80" w14:textId="77777777" w:rsidR="00792D61" w:rsidRDefault="00792D61" w:rsidP="002C044B">
      <w:pPr>
        <w:rPr>
          <w:b/>
          <w:bCs/>
        </w:rPr>
      </w:pPr>
    </w:p>
    <w:p w14:paraId="68B88F68" w14:textId="38E11680" w:rsidR="00DE4E39" w:rsidRPr="00C70506" w:rsidRDefault="00C70506" w:rsidP="002C044B">
      <w:pPr>
        <w:rPr>
          <w:b/>
          <w:bCs/>
        </w:rPr>
      </w:pPr>
      <w:r w:rsidRPr="00C70506">
        <w:rPr>
          <w:b/>
          <w:bCs/>
        </w:rPr>
        <w:lastRenderedPageBreak/>
        <w:t>Performance KPI SFI - Example End of Year outcome:</w:t>
      </w:r>
    </w:p>
    <w:p w14:paraId="5B4B3E74" w14:textId="0D088CDF" w:rsidR="00DE4E39" w:rsidRDefault="005B0861" w:rsidP="002C044B">
      <w:r w:rsidRPr="00446C87">
        <w:rPr>
          <w:noProof/>
        </w:rPr>
        <w:drawing>
          <wp:inline distT="0" distB="0" distL="0" distR="0" wp14:anchorId="1C111191" wp14:editId="339C89DB">
            <wp:extent cx="2393343" cy="585129"/>
            <wp:effectExtent l="0" t="0" r="6985" b="5715"/>
            <wp:docPr id="600541878"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41878" name="Picture 1" descr="A blue rectangle with white text&#10;&#10;AI-generated content may be incorrect."/>
                    <pic:cNvPicPr/>
                  </pic:nvPicPr>
                  <pic:blipFill>
                    <a:blip r:embed="rId24"/>
                    <a:stretch>
                      <a:fillRect/>
                    </a:stretch>
                  </pic:blipFill>
                  <pic:spPr>
                    <a:xfrm>
                      <a:off x="0" y="0"/>
                      <a:ext cx="2414856" cy="590389"/>
                    </a:xfrm>
                    <a:prstGeom prst="rect">
                      <a:avLst/>
                    </a:prstGeom>
                  </pic:spPr>
                </pic:pic>
              </a:graphicData>
            </a:graphic>
          </wp:inline>
        </w:drawing>
      </w:r>
    </w:p>
    <w:p w14:paraId="72364469" w14:textId="716A4E37" w:rsidR="00DE4E39" w:rsidRDefault="00A21D2F" w:rsidP="00272F30">
      <w:pPr>
        <w:pStyle w:val="APPENDIXHEADING"/>
      </w:pPr>
      <w:bookmarkStart w:id="44" w:name="_Toc198818622"/>
      <w:r w:rsidRPr="00A21D2F">
        <w:lastRenderedPageBreak/>
        <w:t>Appendix B</w:t>
      </w:r>
      <w:r>
        <w:t xml:space="preserve"> -</w:t>
      </w:r>
      <w:r w:rsidRPr="00A21D2F">
        <w:t xml:space="preserve"> Summary of the SFI Balanced Scorecard &amp; Performance Measures</w:t>
      </w:r>
      <w:bookmarkEnd w:id="44"/>
    </w:p>
    <w:tbl>
      <w:tblPr>
        <w:tblW w:w="85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85"/>
        <w:gridCol w:w="4050"/>
        <w:gridCol w:w="2160"/>
      </w:tblGrid>
      <w:tr w:rsidR="00BA7A4D" w:rsidRPr="00BA7A4D" w14:paraId="598A2286" w14:textId="77777777" w:rsidTr="00BA7A4D">
        <w:trPr>
          <w:jc w:val="center"/>
        </w:trPr>
        <w:tc>
          <w:tcPr>
            <w:tcW w:w="2385" w:type="dxa"/>
            <w:tcBorders>
              <w:bottom w:val="single" w:sz="4" w:space="0" w:color="auto"/>
            </w:tcBorders>
            <w:shd w:val="clear" w:color="auto" w:fill="518378"/>
            <w:tcMar>
              <w:top w:w="100" w:type="dxa"/>
              <w:left w:w="100" w:type="dxa"/>
              <w:bottom w:w="100" w:type="dxa"/>
              <w:right w:w="100" w:type="dxa"/>
            </w:tcMar>
          </w:tcPr>
          <w:p w14:paraId="7DDD812F" w14:textId="77777777" w:rsidR="00BA7A4D" w:rsidRPr="00BA7A4D" w:rsidRDefault="00BA7A4D" w:rsidP="00BA7A4D">
            <w:pPr>
              <w:widowControl w:val="0"/>
              <w:spacing w:before="0" w:after="0"/>
              <w:rPr>
                <w:rFonts w:eastAsia="Arial" w:cs="Arial"/>
                <w:color w:val="FFFFFF"/>
                <w:szCs w:val="22"/>
                <w:lang w:eastAsia="en-GB"/>
              </w:rPr>
            </w:pPr>
            <w:r w:rsidRPr="00BA7A4D">
              <w:rPr>
                <w:rFonts w:eastAsia="Arial" w:cs="Arial"/>
                <w:color w:val="FFFFFF"/>
                <w:szCs w:val="22"/>
                <w:lang w:eastAsia="en-GB"/>
              </w:rPr>
              <w:t>Category</w:t>
            </w:r>
          </w:p>
        </w:tc>
        <w:tc>
          <w:tcPr>
            <w:tcW w:w="4050" w:type="dxa"/>
            <w:tcBorders>
              <w:bottom w:val="single" w:sz="4" w:space="0" w:color="auto"/>
            </w:tcBorders>
            <w:shd w:val="clear" w:color="auto" w:fill="518378"/>
            <w:tcMar>
              <w:top w:w="100" w:type="dxa"/>
              <w:left w:w="100" w:type="dxa"/>
              <w:bottom w:w="100" w:type="dxa"/>
              <w:right w:w="100" w:type="dxa"/>
            </w:tcMar>
          </w:tcPr>
          <w:p w14:paraId="35B1EE6C" w14:textId="77777777" w:rsidR="00BA7A4D" w:rsidRPr="00BA7A4D" w:rsidRDefault="00BA7A4D" w:rsidP="00BA7A4D">
            <w:pPr>
              <w:widowControl w:val="0"/>
              <w:spacing w:before="0" w:after="0"/>
              <w:rPr>
                <w:rFonts w:eastAsia="Arial" w:cs="Arial"/>
                <w:color w:val="FFFFFF"/>
                <w:szCs w:val="22"/>
                <w:lang w:eastAsia="en-GB"/>
              </w:rPr>
            </w:pPr>
            <w:r w:rsidRPr="00BA7A4D">
              <w:rPr>
                <w:rFonts w:eastAsia="Arial" w:cs="Arial"/>
                <w:color w:val="FFFFFF"/>
                <w:szCs w:val="22"/>
                <w:lang w:eastAsia="en-GB"/>
              </w:rPr>
              <w:t xml:space="preserve">Task Level Indicator (TLI) / Measure </w:t>
            </w:r>
          </w:p>
        </w:tc>
        <w:tc>
          <w:tcPr>
            <w:tcW w:w="2160" w:type="dxa"/>
            <w:tcBorders>
              <w:bottom w:val="single" w:sz="4" w:space="0" w:color="auto"/>
            </w:tcBorders>
            <w:shd w:val="clear" w:color="auto" w:fill="518378"/>
            <w:tcMar>
              <w:top w:w="100" w:type="dxa"/>
              <w:left w:w="100" w:type="dxa"/>
              <w:bottom w:w="100" w:type="dxa"/>
              <w:right w:w="100" w:type="dxa"/>
            </w:tcMar>
          </w:tcPr>
          <w:p w14:paraId="061472F0" w14:textId="77777777" w:rsidR="00BA7A4D" w:rsidRPr="00BA7A4D" w:rsidRDefault="00BA7A4D" w:rsidP="00BA7A4D">
            <w:pPr>
              <w:widowControl w:val="0"/>
              <w:spacing w:before="0" w:after="0"/>
              <w:rPr>
                <w:rFonts w:eastAsia="Arial" w:cs="Arial"/>
                <w:color w:val="FFFFFF"/>
                <w:szCs w:val="22"/>
                <w:lang w:eastAsia="en-GB"/>
              </w:rPr>
            </w:pPr>
            <w:r w:rsidRPr="00BA7A4D">
              <w:rPr>
                <w:rFonts w:eastAsia="Arial" w:cs="Arial"/>
                <w:color w:val="FFFFFF"/>
                <w:szCs w:val="22"/>
                <w:lang w:eastAsia="en-GB"/>
              </w:rPr>
              <w:t>SFI Weighting (%)</w:t>
            </w:r>
          </w:p>
        </w:tc>
      </w:tr>
      <w:tr w:rsidR="00BA7A4D" w:rsidRPr="00BA7A4D" w14:paraId="6CDB36C0" w14:textId="77777777" w:rsidTr="00862A79">
        <w:trPr>
          <w:trHeight w:val="261"/>
          <w:jc w:val="center"/>
        </w:trPr>
        <w:tc>
          <w:tcPr>
            <w:tcW w:w="2385"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5B5782" w14:textId="77777777" w:rsidR="00BA7A4D" w:rsidRPr="00BA7A4D" w:rsidRDefault="00BA7A4D" w:rsidP="00BA7A4D">
            <w:pPr>
              <w:widowControl w:val="0"/>
              <w:spacing w:before="0" w:after="0"/>
              <w:rPr>
                <w:rFonts w:eastAsia="Arial" w:cs="Arial"/>
                <w:b/>
                <w:szCs w:val="22"/>
                <w:lang w:eastAsia="en-GB"/>
              </w:rPr>
            </w:pPr>
            <w:r w:rsidRPr="00BA7A4D">
              <w:rPr>
                <w:rFonts w:eastAsia="Arial" w:cs="Arial"/>
                <w:b/>
                <w:szCs w:val="22"/>
                <w:lang w:eastAsia="en-GB"/>
              </w:rPr>
              <w:t>Performance KPI</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38CE21"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Quality of output</w:t>
            </w:r>
          </w:p>
        </w:tc>
        <w:tc>
          <w:tcPr>
            <w:tcW w:w="216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vAlign w:val="center"/>
          </w:tcPr>
          <w:p w14:paraId="5848686E" w14:textId="77777777" w:rsidR="00BA7A4D" w:rsidRPr="00BA7A4D" w:rsidRDefault="00BA7A4D" w:rsidP="00BA7A4D">
            <w:pPr>
              <w:spacing w:before="0" w:after="0" w:line="276" w:lineRule="auto"/>
              <w:jc w:val="center"/>
              <w:rPr>
                <w:rFonts w:eastAsia="Arial" w:cs="Arial"/>
                <w:b/>
                <w:szCs w:val="22"/>
                <w:lang w:eastAsia="en-GB"/>
              </w:rPr>
            </w:pPr>
            <w:r w:rsidRPr="00BA7A4D">
              <w:rPr>
                <w:rFonts w:eastAsia="Arial" w:cs="Arial"/>
                <w:b/>
                <w:szCs w:val="22"/>
                <w:lang w:eastAsia="en-GB"/>
              </w:rPr>
              <w:t>2.5%</w:t>
            </w:r>
          </w:p>
        </w:tc>
      </w:tr>
      <w:tr w:rsidR="00BA7A4D" w:rsidRPr="00BA7A4D" w14:paraId="709E45F7" w14:textId="77777777" w:rsidTr="00862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
          <w:jc w:val="center"/>
        </w:trPr>
        <w:tc>
          <w:tcPr>
            <w:tcW w:w="2385" w:type="dxa"/>
            <w:vMerge/>
            <w:tcBorders>
              <w:top w:val="single" w:sz="4" w:space="0" w:color="auto"/>
              <w:left w:val="single" w:sz="4" w:space="0" w:color="auto"/>
              <w:bottom w:val="single" w:sz="4" w:space="0" w:color="auto"/>
              <w:right w:val="single" w:sz="4" w:space="0" w:color="auto"/>
            </w:tcBorders>
          </w:tcPr>
          <w:p w14:paraId="30D05F15" w14:textId="77777777" w:rsidR="00BA7A4D" w:rsidRPr="00BA7A4D" w:rsidRDefault="00BA7A4D" w:rsidP="00BA7A4D">
            <w:pPr>
              <w:widowControl w:val="0"/>
              <w:spacing w:before="0" w:after="0"/>
              <w:rPr>
                <w:rFonts w:eastAsia="Arial" w:cs="Arial"/>
                <w:b/>
                <w:szCs w:val="22"/>
                <w:lang w:eastAsia="en-GB"/>
              </w:rPr>
            </w:pPr>
          </w:p>
        </w:tc>
        <w:tc>
          <w:tcPr>
            <w:tcW w:w="4050" w:type="dxa"/>
            <w:tcBorders>
              <w:top w:val="single" w:sz="4" w:space="0" w:color="auto"/>
              <w:left w:val="single" w:sz="4" w:space="0" w:color="auto"/>
              <w:bottom w:val="single" w:sz="4" w:space="0" w:color="auto"/>
              <w:right w:val="single" w:sz="4" w:space="0" w:color="auto"/>
            </w:tcBorders>
          </w:tcPr>
          <w:p w14:paraId="44DC81DE"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 xml:space="preserve">Schedule </w:t>
            </w:r>
          </w:p>
        </w:tc>
        <w:tc>
          <w:tcPr>
            <w:tcW w:w="2160" w:type="dxa"/>
            <w:vMerge/>
            <w:tcBorders>
              <w:left w:val="single" w:sz="4" w:space="0" w:color="auto"/>
              <w:right w:val="single" w:sz="4" w:space="0" w:color="auto"/>
            </w:tcBorders>
          </w:tcPr>
          <w:p w14:paraId="5A6F084D" w14:textId="77777777" w:rsidR="00BA7A4D" w:rsidRPr="00BA7A4D" w:rsidRDefault="00BA7A4D" w:rsidP="00BA7A4D">
            <w:pPr>
              <w:spacing w:before="0" w:after="0" w:line="276" w:lineRule="auto"/>
              <w:jc w:val="center"/>
              <w:rPr>
                <w:rFonts w:eastAsia="Arial" w:cs="Arial"/>
                <w:b/>
                <w:szCs w:val="22"/>
                <w:lang w:eastAsia="en-GB"/>
              </w:rPr>
            </w:pPr>
          </w:p>
        </w:tc>
      </w:tr>
      <w:tr w:rsidR="00BA7A4D" w:rsidRPr="00BA7A4D" w14:paraId="1F0F5BBC" w14:textId="77777777" w:rsidTr="00862A79">
        <w:trPr>
          <w:trHeight w:val="164"/>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EF0653" w14:textId="77777777" w:rsidR="00BA7A4D" w:rsidRPr="00BA7A4D" w:rsidRDefault="00BA7A4D" w:rsidP="00BA7A4D">
            <w:pPr>
              <w:widowControl w:val="0"/>
              <w:spacing w:before="0" w:after="0"/>
              <w:rPr>
                <w:rFonts w:eastAsia="Arial" w:cs="Arial"/>
                <w:b/>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D25FB7"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Forecast Cost to Completion</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6FAEC6D9" w14:textId="77777777" w:rsidR="00BA7A4D" w:rsidRPr="00BA7A4D" w:rsidRDefault="00BA7A4D" w:rsidP="00BA7A4D">
            <w:pPr>
              <w:spacing w:before="0" w:after="0" w:line="276" w:lineRule="auto"/>
              <w:jc w:val="center"/>
              <w:rPr>
                <w:rFonts w:eastAsia="Arial" w:cs="Arial"/>
                <w:b/>
                <w:szCs w:val="22"/>
                <w:lang w:eastAsia="en-GB"/>
              </w:rPr>
            </w:pPr>
          </w:p>
        </w:tc>
      </w:tr>
      <w:tr w:rsidR="00BA7A4D" w:rsidRPr="00BA7A4D" w14:paraId="63743449" w14:textId="77777777" w:rsidTr="00862A79">
        <w:trPr>
          <w:trHeight w:val="20"/>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3EFA2A" w14:textId="77777777" w:rsidR="00BA7A4D" w:rsidRPr="00BA7A4D" w:rsidRDefault="00BA7A4D" w:rsidP="00BA7A4D">
            <w:pPr>
              <w:widowControl w:val="0"/>
              <w:spacing w:before="0" w:after="0"/>
              <w:rPr>
                <w:rFonts w:eastAsia="Arial" w:cs="Arial"/>
                <w:b/>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0FDFF2"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Cost AWCP</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3E0F13B7" w14:textId="77777777" w:rsidR="00BA7A4D" w:rsidRPr="00BA7A4D" w:rsidRDefault="00BA7A4D" w:rsidP="00BA7A4D">
            <w:pPr>
              <w:spacing w:before="0" w:after="0" w:line="276" w:lineRule="auto"/>
              <w:jc w:val="center"/>
              <w:rPr>
                <w:rFonts w:eastAsia="Arial" w:cs="Arial"/>
                <w:b/>
                <w:szCs w:val="22"/>
                <w:lang w:eastAsia="en-GB"/>
              </w:rPr>
            </w:pPr>
          </w:p>
        </w:tc>
      </w:tr>
      <w:tr w:rsidR="00BA7A4D" w:rsidRPr="00BA7A4D" w14:paraId="7C1D49B3" w14:textId="77777777" w:rsidTr="00862A79">
        <w:trPr>
          <w:trHeight w:val="20"/>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06C86E" w14:textId="77777777" w:rsidR="00BA7A4D" w:rsidRPr="00BA7A4D" w:rsidRDefault="00BA7A4D" w:rsidP="00BA7A4D">
            <w:pPr>
              <w:widowControl w:val="0"/>
              <w:spacing w:before="0" w:after="0"/>
              <w:rPr>
                <w:rFonts w:eastAsia="Arial" w:cs="Arial"/>
                <w:b/>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B442417"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H&amp;S TRIR</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70295135" w14:textId="77777777" w:rsidR="00BA7A4D" w:rsidRPr="00BA7A4D" w:rsidRDefault="00BA7A4D" w:rsidP="00BA7A4D">
            <w:pPr>
              <w:spacing w:before="0" w:after="0" w:line="276" w:lineRule="auto"/>
              <w:jc w:val="center"/>
              <w:rPr>
                <w:rFonts w:eastAsia="Arial" w:cs="Arial"/>
                <w:b/>
                <w:szCs w:val="22"/>
                <w:lang w:eastAsia="en-GB"/>
              </w:rPr>
            </w:pPr>
          </w:p>
        </w:tc>
      </w:tr>
      <w:tr w:rsidR="00BA7A4D" w:rsidRPr="00BA7A4D" w14:paraId="0F45804E" w14:textId="77777777" w:rsidTr="00862A79">
        <w:trPr>
          <w:trHeight w:val="171"/>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A14427" w14:textId="77777777" w:rsidR="00BA7A4D" w:rsidRPr="00BA7A4D" w:rsidRDefault="00BA7A4D" w:rsidP="00BA7A4D">
            <w:pPr>
              <w:widowControl w:val="0"/>
              <w:spacing w:before="0" w:after="0"/>
              <w:rPr>
                <w:rFonts w:eastAsia="Arial" w:cs="Arial"/>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C043D6"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H&amp;S Near Miss</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55F7675F" w14:textId="77777777" w:rsidR="00BA7A4D" w:rsidRPr="00BA7A4D" w:rsidRDefault="00BA7A4D" w:rsidP="00BA7A4D">
            <w:pPr>
              <w:spacing w:before="0" w:after="0"/>
              <w:jc w:val="center"/>
              <w:rPr>
                <w:rFonts w:eastAsia="Arial" w:cs="Arial"/>
                <w:szCs w:val="22"/>
                <w:lang w:eastAsia="en-GB"/>
              </w:rPr>
            </w:pPr>
          </w:p>
        </w:tc>
      </w:tr>
      <w:tr w:rsidR="00BA7A4D" w:rsidRPr="00BA7A4D" w14:paraId="7A9537E0" w14:textId="77777777" w:rsidTr="00862A79">
        <w:trPr>
          <w:trHeight w:val="20"/>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57ED2D" w14:textId="77777777" w:rsidR="00BA7A4D" w:rsidRPr="00BA7A4D" w:rsidRDefault="00BA7A4D" w:rsidP="00BA7A4D">
            <w:pPr>
              <w:widowControl w:val="0"/>
              <w:spacing w:before="0" w:after="0"/>
              <w:rPr>
                <w:rFonts w:eastAsia="Arial" w:cs="Arial"/>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32C411"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Cyber Security</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1698AF99" w14:textId="77777777" w:rsidR="00BA7A4D" w:rsidRPr="00BA7A4D" w:rsidRDefault="00BA7A4D" w:rsidP="00BA7A4D">
            <w:pPr>
              <w:spacing w:before="0" w:after="0"/>
              <w:jc w:val="center"/>
              <w:rPr>
                <w:rFonts w:eastAsia="Arial" w:cs="Arial"/>
                <w:szCs w:val="22"/>
                <w:lang w:eastAsia="en-GB"/>
              </w:rPr>
            </w:pPr>
          </w:p>
        </w:tc>
      </w:tr>
      <w:tr w:rsidR="00BA7A4D" w:rsidRPr="00BA7A4D" w14:paraId="6DC729A7" w14:textId="77777777" w:rsidTr="00862A79">
        <w:trPr>
          <w:trHeight w:val="20"/>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8D8E86" w14:textId="77777777" w:rsidR="00BA7A4D" w:rsidRPr="00BA7A4D" w:rsidRDefault="00BA7A4D" w:rsidP="00BA7A4D">
            <w:pPr>
              <w:widowControl w:val="0"/>
              <w:spacing w:before="0" w:after="0"/>
              <w:rPr>
                <w:rFonts w:eastAsia="Arial" w:cs="Arial"/>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A19826"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Physical Security &amp; Resilience</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1056D21C" w14:textId="77777777" w:rsidR="00BA7A4D" w:rsidRPr="00BA7A4D" w:rsidRDefault="00BA7A4D" w:rsidP="00BA7A4D">
            <w:pPr>
              <w:spacing w:before="0" w:after="0"/>
              <w:jc w:val="center"/>
              <w:rPr>
                <w:rFonts w:eastAsia="Arial" w:cs="Arial"/>
                <w:szCs w:val="22"/>
                <w:lang w:eastAsia="en-GB"/>
              </w:rPr>
            </w:pPr>
          </w:p>
        </w:tc>
      </w:tr>
      <w:tr w:rsidR="00BA7A4D" w:rsidRPr="00BA7A4D" w14:paraId="0627857D" w14:textId="77777777" w:rsidTr="00862A79">
        <w:trPr>
          <w:trHeight w:val="176"/>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95CF53" w14:textId="77777777" w:rsidR="00BA7A4D" w:rsidRPr="00BA7A4D" w:rsidRDefault="00BA7A4D" w:rsidP="00BA7A4D">
            <w:pPr>
              <w:widowControl w:val="0"/>
              <w:spacing w:before="0" w:after="0"/>
              <w:rPr>
                <w:rFonts w:eastAsia="Arial" w:cs="Arial"/>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3F6D1B"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Environment – Near Miss</w:t>
            </w:r>
          </w:p>
        </w:tc>
        <w:tc>
          <w:tcPr>
            <w:tcW w:w="2160" w:type="dxa"/>
            <w:vMerge/>
            <w:tcBorders>
              <w:left w:val="single" w:sz="4" w:space="0" w:color="auto"/>
              <w:right w:val="single" w:sz="4" w:space="0" w:color="auto"/>
            </w:tcBorders>
            <w:shd w:val="clear" w:color="auto" w:fill="auto"/>
            <w:tcMar>
              <w:top w:w="100" w:type="dxa"/>
              <w:left w:w="100" w:type="dxa"/>
              <w:bottom w:w="100" w:type="dxa"/>
              <w:right w:w="100" w:type="dxa"/>
            </w:tcMar>
          </w:tcPr>
          <w:p w14:paraId="1E49895D" w14:textId="77777777" w:rsidR="00BA7A4D" w:rsidRPr="00BA7A4D" w:rsidRDefault="00BA7A4D" w:rsidP="00BA7A4D">
            <w:pPr>
              <w:spacing w:before="0" w:after="0"/>
              <w:jc w:val="center"/>
              <w:rPr>
                <w:rFonts w:eastAsia="Arial" w:cs="Arial"/>
                <w:szCs w:val="22"/>
                <w:lang w:eastAsia="en-GB"/>
              </w:rPr>
            </w:pPr>
          </w:p>
        </w:tc>
      </w:tr>
      <w:tr w:rsidR="00BA7A4D" w:rsidRPr="00BA7A4D" w14:paraId="0C5B7C4F" w14:textId="77777777" w:rsidTr="00BA7A4D">
        <w:trPr>
          <w:trHeight w:val="420"/>
          <w:jc w:val="center"/>
        </w:trPr>
        <w:tc>
          <w:tcPr>
            <w:tcW w:w="2385"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38B193" w14:textId="77777777" w:rsidR="00BA7A4D" w:rsidRPr="00BA7A4D" w:rsidRDefault="00BA7A4D" w:rsidP="00BA7A4D">
            <w:pPr>
              <w:widowControl w:val="0"/>
              <w:spacing w:before="0" w:after="0"/>
              <w:rPr>
                <w:rFonts w:eastAsia="Arial" w:cs="Arial"/>
                <w:szCs w:val="22"/>
                <w:lang w:eastAsia="en-GB"/>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0131D6" w14:textId="77777777" w:rsidR="00BA7A4D" w:rsidRPr="00BA7A4D" w:rsidRDefault="00BA7A4D" w:rsidP="000A37B4">
            <w:pPr>
              <w:spacing w:before="0" w:after="0"/>
              <w:rPr>
                <w:rFonts w:eastAsia="Arial" w:cs="Arial"/>
                <w:szCs w:val="22"/>
                <w:lang w:eastAsia="en-GB"/>
              </w:rPr>
            </w:pPr>
            <w:r w:rsidRPr="00BA7A4D">
              <w:rPr>
                <w:rFonts w:eastAsia="Arial" w:cs="Arial"/>
                <w:szCs w:val="22"/>
                <w:lang w:eastAsia="en-GB"/>
              </w:rPr>
              <w:t>Environment – Environmental Total Recordable Incident Rate</w:t>
            </w:r>
          </w:p>
        </w:tc>
        <w:tc>
          <w:tcPr>
            <w:tcW w:w="216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E1CBFD" w14:textId="77777777" w:rsidR="00BA7A4D" w:rsidRPr="00BA7A4D" w:rsidRDefault="00BA7A4D" w:rsidP="00BA7A4D">
            <w:pPr>
              <w:spacing w:before="0" w:after="0"/>
              <w:jc w:val="center"/>
              <w:rPr>
                <w:rFonts w:eastAsia="Arial" w:cs="Arial"/>
                <w:szCs w:val="22"/>
                <w:lang w:eastAsia="en-GB"/>
              </w:rPr>
            </w:pPr>
          </w:p>
        </w:tc>
      </w:tr>
      <w:tr w:rsidR="00BA7A4D" w:rsidRPr="00BA7A4D" w14:paraId="069CF3B8" w14:textId="77777777" w:rsidTr="00BA7A4D">
        <w:trPr>
          <w:jc w:val="center"/>
        </w:trPr>
        <w:tc>
          <w:tcPr>
            <w:tcW w:w="23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BC9C8C" w14:textId="77777777" w:rsidR="00BA7A4D" w:rsidRPr="00BA7A4D" w:rsidRDefault="00BA7A4D" w:rsidP="00BA7A4D">
            <w:pPr>
              <w:widowControl w:val="0"/>
              <w:spacing w:before="0" w:after="0"/>
              <w:rPr>
                <w:rFonts w:eastAsia="Arial" w:cs="Arial"/>
                <w:b/>
                <w:szCs w:val="22"/>
                <w:lang w:eastAsia="en-GB"/>
              </w:rPr>
            </w:pPr>
            <w:r w:rsidRPr="00BA7A4D">
              <w:rPr>
                <w:rFonts w:eastAsia="Arial" w:cs="Arial"/>
                <w:b/>
                <w:szCs w:val="22"/>
                <w:lang w:eastAsia="en-GB"/>
              </w:rPr>
              <w:t>Social Value KPI</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CE6307" w14:textId="77777777" w:rsidR="00BA7A4D" w:rsidRPr="00BA7A4D" w:rsidRDefault="00BA7A4D" w:rsidP="000A37B4">
            <w:pPr>
              <w:widowControl w:val="0"/>
              <w:spacing w:before="0" w:after="0"/>
              <w:rPr>
                <w:rFonts w:eastAsia="Arial" w:cs="Arial"/>
                <w:szCs w:val="22"/>
                <w:lang w:eastAsia="en-GB"/>
              </w:rPr>
            </w:pPr>
            <w:r w:rsidRPr="00BA7A4D">
              <w:rPr>
                <w:rFonts w:eastAsia="Arial" w:cs="Arial"/>
                <w:szCs w:val="22"/>
                <w:lang w:eastAsia="en-GB"/>
              </w:rPr>
              <w:t>Social Value Plan adherence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B9D7EA" w14:textId="77777777" w:rsidR="00BA7A4D" w:rsidRPr="00BA7A4D" w:rsidRDefault="00BA7A4D" w:rsidP="00BA7A4D">
            <w:pPr>
              <w:spacing w:before="0" w:after="0" w:line="276" w:lineRule="auto"/>
              <w:jc w:val="center"/>
              <w:rPr>
                <w:rFonts w:eastAsia="Arial" w:cs="Arial"/>
                <w:b/>
                <w:szCs w:val="22"/>
                <w:lang w:eastAsia="en-GB"/>
              </w:rPr>
            </w:pPr>
            <w:r w:rsidRPr="00BA7A4D">
              <w:rPr>
                <w:rFonts w:eastAsia="Arial" w:cs="Arial"/>
                <w:b/>
                <w:szCs w:val="22"/>
                <w:lang w:eastAsia="en-GB"/>
              </w:rPr>
              <w:t>2.5%</w:t>
            </w:r>
          </w:p>
        </w:tc>
      </w:tr>
      <w:tr w:rsidR="00BA7A4D" w:rsidRPr="00BA7A4D" w14:paraId="6F74CC8F" w14:textId="77777777" w:rsidTr="00BA7A4D">
        <w:trPr>
          <w:trHeight w:val="420"/>
          <w:jc w:val="center"/>
        </w:trPr>
        <w:tc>
          <w:tcPr>
            <w:tcW w:w="23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3E86CD" w14:textId="77777777" w:rsidR="00BA7A4D" w:rsidRPr="00BA7A4D" w:rsidRDefault="00BA7A4D" w:rsidP="00BA7A4D">
            <w:pPr>
              <w:widowControl w:val="0"/>
              <w:spacing w:before="0" w:after="0"/>
              <w:rPr>
                <w:rFonts w:eastAsia="Arial" w:cs="Arial"/>
                <w:b/>
                <w:szCs w:val="22"/>
                <w:lang w:eastAsia="en-GB"/>
              </w:rPr>
            </w:pPr>
            <w:r w:rsidRPr="00BA7A4D">
              <w:rPr>
                <w:rFonts w:eastAsia="Arial" w:cs="Arial"/>
                <w:b/>
                <w:szCs w:val="22"/>
                <w:lang w:eastAsia="en-GB"/>
              </w:rPr>
              <w:t xml:space="preserve">Milestones </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C63FB6" w14:textId="77777777" w:rsidR="00BA7A4D" w:rsidRPr="00BA7A4D" w:rsidRDefault="00BA7A4D" w:rsidP="000A37B4">
            <w:pPr>
              <w:widowControl w:val="0"/>
              <w:spacing w:before="0" w:after="0"/>
              <w:rPr>
                <w:rFonts w:eastAsia="Arial" w:cs="Arial"/>
                <w:szCs w:val="22"/>
                <w:lang w:eastAsia="en-GB"/>
              </w:rPr>
            </w:pPr>
            <w:r w:rsidRPr="00BA7A4D">
              <w:rPr>
                <w:rFonts w:eastAsia="Arial" w:cs="Arial"/>
                <w:szCs w:val="22"/>
                <w:lang w:eastAsia="en-GB"/>
              </w:rPr>
              <w:t xml:space="preserve">N/A - c. 2-3 milestones to be identified for each Task Order. </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870FC6" w14:textId="77777777" w:rsidR="00BA7A4D" w:rsidRPr="00BA7A4D" w:rsidRDefault="00BA7A4D" w:rsidP="00BA7A4D">
            <w:pPr>
              <w:spacing w:before="0" w:after="0" w:line="276" w:lineRule="auto"/>
              <w:jc w:val="center"/>
              <w:rPr>
                <w:rFonts w:eastAsia="Arial" w:cs="Arial"/>
                <w:b/>
                <w:szCs w:val="22"/>
                <w:lang w:eastAsia="en-GB"/>
              </w:rPr>
            </w:pPr>
            <w:r w:rsidRPr="00BA7A4D">
              <w:rPr>
                <w:rFonts w:eastAsia="Arial" w:cs="Arial"/>
                <w:b/>
                <w:szCs w:val="22"/>
                <w:lang w:eastAsia="en-GB"/>
              </w:rPr>
              <w:t>5%</w:t>
            </w:r>
          </w:p>
        </w:tc>
      </w:tr>
      <w:tr w:rsidR="00BA7A4D" w:rsidRPr="00BA7A4D" w14:paraId="2FA450DB" w14:textId="77777777" w:rsidTr="00BA7A4D">
        <w:trPr>
          <w:trHeight w:val="420"/>
          <w:jc w:val="center"/>
        </w:trPr>
        <w:tc>
          <w:tcPr>
            <w:tcW w:w="23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D87B8A" w14:textId="77777777" w:rsidR="00BA7A4D" w:rsidRPr="00BA7A4D" w:rsidRDefault="00BA7A4D" w:rsidP="00BA7A4D">
            <w:pPr>
              <w:widowControl w:val="0"/>
              <w:spacing w:before="0" w:after="0"/>
              <w:rPr>
                <w:rFonts w:eastAsia="Arial" w:cs="Arial"/>
                <w:b/>
                <w:szCs w:val="22"/>
                <w:lang w:eastAsia="en-GB"/>
              </w:rPr>
            </w:pPr>
            <w:r w:rsidRPr="00BA7A4D">
              <w:rPr>
                <w:rFonts w:eastAsia="Arial" w:cs="Arial"/>
                <w:b/>
                <w:szCs w:val="22"/>
                <w:lang w:eastAsia="en-GB"/>
              </w:rPr>
              <w:t>Non-SFI KPIs</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084510" w14:textId="77777777" w:rsidR="00BA7A4D" w:rsidRPr="00BA7A4D" w:rsidRDefault="00BA7A4D" w:rsidP="000A37B4">
            <w:pPr>
              <w:widowControl w:val="0"/>
              <w:numPr>
                <w:ilvl w:val="0"/>
                <w:numId w:val="28"/>
              </w:numPr>
              <w:spacing w:before="0" w:after="0"/>
              <w:rPr>
                <w:rFonts w:eastAsia="Arial" w:cs="Arial"/>
                <w:szCs w:val="22"/>
                <w:lang w:eastAsia="en-GB"/>
              </w:rPr>
            </w:pPr>
            <w:r w:rsidRPr="00BA7A4D">
              <w:rPr>
                <w:rFonts w:eastAsia="Arial" w:cs="Arial"/>
                <w:szCs w:val="22"/>
                <w:lang w:eastAsia="en-GB"/>
              </w:rPr>
              <w:t>People</w:t>
            </w:r>
          </w:p>
          <w:p w14:paraId="124E27E5" w14:textId="77777777" w:rsidR="00BA7A4D" w:rsidRPr="00BA7A4D" w:rsidRDefault="00BA7A4D" w:rsidP="000A37B4">
            <w:pPr>
              <w:widowControl w:val="0"/>
              <w:numPr>
                <w:ilvl w:val="0"/>
                <w:numId w:val="28"/>
              </w:numPr>
              <w:spacing w:before="0" w:after="0"/>
              <w:rPr>
                <w:rFonts w:eastAsia="Arial" w:cs="Arial"/>
                <w:szCs w:val="22"/>
                <w:lang w:eastAsia="en-GB"/>
              </w:rPr>
            </w:pPr>
            <w:r w:rsidRPr="00BA7A4D">
              <w:rPr>
                <w:rFonts w:eastAsia="Arial" w:cs="Arial"/>
                <w:szCs w:val="22"/>
                <w:lang w:eastAsia="en-GB"/>
              </w:rPr>
              <w:t>Risk &amp; Opportunity</w:t>
            </w:r>
          </w:p>
          <w:p w14:paraId="5B5D2EB2" w14:textId="77777777" w:rsidR="00BA7A4D" w:rsidRPr="00BA7A4D" w:rsidRDefault="00BA7A4D" w:rsidP="000A37B4">
            <w:pPr>
              <w:widowControl w:val="0"/>
              <w:numPr>
                <w:ilvl w:val="0"/>
                <w:numId w:val="28"/>
              </w:numPr>
              <w:spacing w:before="0" w:after="0"/>
              <w:rPr>
                <w:rFonts w:eastAsia="Arial" w:cs="Arial"/>
                <w:szCs w:val="22"/>
                <w:lang w:eastAsia="en-GB"/>
              </w:rPr>
            </w:pPr>
            <w:r w:rsidRPr="00BA7A4D">
              <w:rPr>
                <w:rFonts w:eastAsia="Arial" w:cs="Arial"/>
                <w:szCs w:val="22"/>
                <w:lang w:eastAsia="en-GB"/>
              </w:rPr>
              <w:t>Collaboration</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D53D7B" w14:textId="77777777" w:rsidR="00BA7A4D" w:rsidRPr="00BA7A4D" w:rsidRDefault="00BA7A4D" w:rsidP="00BA7A4D">
            <w:pPr>
              <w:spacing w:before="0" w:after="0" w:line="276" w:lineRule="auto"/>
              <w:jc w:val="center"/>
              <w:rPr>
                <w:rFonts w:eastAsia="Arial" w:cs="Arial"/>
                <w:b/>
                <w:szCs w:val="22"/>
                <w:lang w:eastAsia="en-GB"/>
              </w:rPr>
            </w:pPr>
            <w:r w:rsidRPr="00BA7A4D">
              <w:rPr>
                <w:rFonts w:eastAsia="Arial" w:cs="Arial"/>
                <w:b/>
                <w:szCs w:val="22"/>
                <w:lang w:eastAsia="en-GB"/>
              </w:rPr>
              <w:t>0%</w:t>
            </w:r>
          </w:p>
        </w:tc>
      </w:tr>
      <w:tr w:rsidR="00BA7A4D" w:rsidRPr="00BA7A4D" w14:paraId="69131A36" w14:textId="77777777" w:rsidTr="00BA7A4D">
        <w:trPr>
          <w:trHeight w:val="420"/>
          <w:jc w:val="center"/>
        </w:trPr>
        <w:tc>
          <w:tcPr>
            <w:tcW w:w="238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BEABBD" w14:textId="77777777" w:rsidR="00BA7A4D" w:rsidRPr="00BA7A4D" w:rsidRDefault="00BA7A4D" w:rsidP="00BA7A4D">
            <w:pPr>
              <w:widowControl w:val="0"/>
              <w:spacing w:before="0" w:after="0"/>
              <w:rPr>
                <w:rFonts w:eastAsia="Arial" w:cs="Arial"/>
                <w:b/>
                <w:szCs w:val="22"/>
                <w:lang w:eastAsia="en-GB"/>
              </w:rPr>
            </w:pPr>
            <w:r w:rsidRPr="00BA7A4D">
              <w:rPr>
                <w:rFonts w:eastAsia="Arial" w:cs="Arial"/>
                <w:b/>
                <w:szCs w:val="22"/>
                <w:lang w:eastAsia="en-GB"/>
              </w:rPr>
              <w:t>Payment KPI</w:t>
            </w: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CF44C2" w14:textId="77777777" w:rsidR="00BA7A4D" w:rsidRPr="00BA7A4D" w:rsidDel="003F4A83" w:rsidRDefault="00BA7A4D" w:rsidP="000A37B4">
            <w:pPr>
              <w:widowControl w:val="0"/>
              <w:spacing w:before="0" w:after="0"/>
              <w:rPr>
                <w:rFonts w:eastAsia="Arial" w:cs="Arial"/>
                <w:szCs w:val="22"/>
                <w:lang w:eastAsia="en-GB"/>
              </w:rPr>
            </w:pPr>
            <w:r w:rsidRPr="00BA7A4D">
              <w:rPr>
                <w:rFonts w:eastAsia="Arial" w:cs="Arial"/>
                <w:szCs w:val="22"/>
                <w:lang w:eastAsia="en-GB"/>
              </w:rPr>
              <w:t>Supply chain payment performance</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8D8ACF" w14:textId="77777777" w:rsidR="00BA7A4D" w:rsidRPr="00BA7A4D" w:rsidRDefault="00BA7A4D" w:rsidP="00BA7A4D">
            <w:pPr>
              <w:spacing w:before="0" w:after="0" w:line="276" w:lineRule="auto"/>
              <w:jc w:val="center"/>
              <w:rPr>
                <w:rFonts w:eastAsia="Arial" w:cs="Arial"/>
                <w:b/>
                <w:szCs w:val="22"/>
                <w:lang w:eastAsia="en-GB"/>
              </w:rPr>
            </w:pPr>
            <w:r w:rsidRPr="00BA7A4D">
              <w:rPr>
                <w:rFonts w:eastAsia="Arial" w:cs="Arial"/>
                <w:b/>
                <w:szCs w:val="22"/>
                <w:lang w:eastAsia="en-GB"/>
              </w:rPr>
              <w:t>0%</w:t>
            </w:r>
          </w:p>
        </w:tc>
      </w:tr>
    </w:tbl>
    <w:p w14:paraId="00A941DB" w14:textId="77777777" w:rsidR="00E46D77" w:rsidRDefault="00E46D77" w:rsidP="00E46D77"/>
    <w:p w14:paraId="32DAE01A" w14:textId="77777777" w:rsidR="00E46D77" w:rsidRPr="00E46D77" w:rsidRDefault="00E46D77" w:rsidP="00E46D77"/>
    <w:p w14:paraId="2AFB3F5B" w14:textId="77777777" w:rsidR="00460718" w:rsidRPr="002C044B" w:rsidRDefault="00460718" w:rsidP="002C044B"/>
    <w:sectPr w:rsidR="00460718" w:rsidRPr="002C044B" w:rsidSect="00C12117">
      <w:headerReference w:type="first" r:id="rId25"/>
      <w:footerReference w:type="first" r:id="rId26"/>
      <w:pgSz w:w="11907" w:h="16840" w:code="9"/>
      <w:pgMar w:top="1602" w:right="1259" w:bottom="244" w:left="1077" w:header="539"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C3AC" w14:textId="77777777" w:rsidR="00910D84" w:rsidRDefault="00910D84" w:rsidP="00861618">
      <w:r>
        <w:separator/>
      </w:r>
    </w:p>
  </w:endnote>
  <w:endnote w:type="continuationSeparator" w:id="0">
    <w:p w14:paraId="50A210F1" w14:textId="77777777" w:rsidR="00910D84" w:rsidRDefault="00910D84" w:rsidP="00861618">
      <w:r>
        <w:continuationSeparator/>
      </w:r>
    </w:p>
  </w:endnote>
  <w:endnote w:type="continuationNotice" w:id="1">
    <w:p w14:paraId="27392682" w14:textId="77777777" w:rsidR="00910D84" w:rsidRDefault="00910D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67377"/>
      <w:docPartObj>
        <w:docPartGallery w:val="Page Numbers (Top of Page)"/>
        <w:docPartUnique/>
      </w:docPartObj>
    </w:sdtPr>
    <w:sdtEndPr/>
    <w:sdtContent>
      <w:p w14:paraId="652249FD" w14:textId="77777777" w:rsidR="00FF24C4" w:rsidRDefault="000977F4" w:rsidP="000977F4">
        <w:pPr>
          <w:pStyle w:val="Footer"/>
          <w:pBdr>
            <w:top w:val="single" w:sz="4" w:space="1" w:color="003629"/>
          </w:pBdr>
          <w:jc w:val="center"/>
          <w:rPr>
            <w:b/>
            <w:bCs/>
            <w:sz w:val="24"/>
          </w:rPr>
        </w:pPr>
        <w:r>
          <w:t xml:space="preserve">Page </w:t>
        </w:r>
        <w:r>
          <w:rPr>
            <w:b/>
            <w:bCs/>
            <w:sz w:val="24"/>
          </w:rPr>
          <w:fldChar w:fldCharType="begin"/>
        </w:r>
        <w:r>
          <w:rPr>
            <w:b/>
            <w:bCs/>
          </w:rPr>
          <w:instrText xml:space="preserve"> PAGE </w:instrText>
        </w:r>
        <w:r>
          <w:rPr>
            <w:b/>
            <w:bCs/>
            <w:sz w:val="24"/>
          </w:rPr>
          <w:fldChar w:fldCharType="separate"/>
        </w:r>
        <w:r>
          <w:rPr>
            <w:b/>
            <w:bCs/>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rPr>
          <w:t>13</w:t>
        </w:r>
        <w:r>
          <w:rPr>
            <w:b/>
            <w:bCs/>
            <w:sz w:val="24"/>
          </w:rPr>
          <w:fldChar w:fldCharType="end"/>
        </w:r>
      </w:p>
      <w:p w14:paraId="317F6249" w14:textId="3F703979" w:rsidR="00F528D2" w:rsidRPr="000977F4" w:rsidRDefault="00FF24C4" w:rsidP="00FF24C4">
        <w:pPr>
          <w:pStyle w:val="Footer"/>
          <w:pBdr>
            <w:top w:val="single" w:sz="4" w:space="1" w:color="003629"/>
          </w:pBdr>
        </w:pPr>
        <w:r w:rsidRPr="00FF24C4">
          <w:t>GDF-NWS-SCDP-AXX-CC-CS-000015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DC6F" w14:textId="4B83EBBC" w:rsidR="00F528D2" w:rsidRPr="00FD1C9A" w:rsidRDefault="002213CB" w:rsidP="00C37437">
    <w:pPr>
      <w:pStyle w:val="Footer"/>
      <w:jc w:val="center"/>
    </w:pPr>
    <w:r>
      <w:rPr>
        <w:caps/>
        <w:noProof/>
      </w:rPr>
      <w:drawing>
        <wp:anchor distT="0" distB="0" distL="114300" distR="114300" simplePos="0" relativeHeight="251658245" behindDoc="0" locked="0" layoutInCell="1" allowOverlap="1" wp14:anchorId="2B701131" wp14:editId="5478211A">
          <wp:simplePos x="0" y="0"/>
          <wp:positionH relativeFrom="page">
            <wp:posOffset>0</wp:posOffset>
          </wp:positionH>
          <wp:positionV relativeFrom="page">
            <wp:posOffset>6418580</wp:posOffset>
          </wp:positionV>
          <wp:extent cx="7559040" cy="3363595"/>
          <wp:effectExtent l="0" t="0" r="3810" b="8255"/>
          <wp:wrapNone/>
          <wp:docPr id="420532083" name="Picture 42053208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32083" name="Picture 42053208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3363595"/>
                  </a:xfrm>
                  <a:prstGeom prst="rect">
                    <a:avLst/>
                  </a:prstGeom>
                </pic:spPr>
              </pic:pic>
            </a:graphicData>
          </a:graphic>
          <wp14:sizeRelH relativeFrom="page">
            <wp14:pctWidth>0</wp14:pctWidth>
          </wp14:sizeRelH>
          <wp14:sizeRelV relativeFrom="page">
            <wp14:pctHeight>0</wp14:pctHeight>
          </wp14:sizeRelV>
        </wp:anchor>
      </w:drawing>
    </w:r>
    <w:r w:rsidR="00C37437">
      <w:rPr>
        <w:noProof/>
        <w:lang w:eastAsia="en-GB"/>
      </w:rPr>
      <mc:AlternateContent>
        <mc:Choice Requires="wps">
          <w:drawing>
            <wp:anchor distT="0" distB="0" distL="114300" distR="114300" simplePos="0" relativeHeight="251658240" behindDoc="0" locked="0" layoutInCell="1" allowOverlap="1" wp14:anchorId="09E572E4" wp14:editId="70008900">
              <wp:simplePos x="0" y="0"/>
              <wp:positionH relativeFrom="column">
                <wp:align>center</wp:align>
              </wp:positionH>
              <wp:positionV relativeFrom="paragraph">
                <wp:posOffset>135255</wp:posOffset>
              </wp:positionV>
              <wp:extent cx="60876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087600" cy="0"/>
                      </a:xfrm>
                      <a:prstGeom prst="line">
                        <a:avLst/>
                      </a:prstGeom>
                      <a:ln>
                        <a:solidFill>
                          <a:srgbClr val="37424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87B66C" id="Straight Connector 10" o:spid="_x0000_s1026" style="position:absolute;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10.65pt" to="479.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" strokecolor="#37424a"/>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772291"/>
      <w:docPartObj>
        <w:docPartGallery w:val="Page Numbers (Bottom of Page)"/>
        <w:docPartUnique/>
      </w:docPartObj>
    </w:sdtPr>
    <w:sdtEndPr/>
    <w:sdtContent>
      <w:sdt>
        <w:sdtPr>
          <w:id w:val="486217500"/>
          <w:docPartObj>
            <w:docPartGallery w:val="Page Numbers (Top of Page)"/>
            <w:docPartUnique/>
          </w:docPartObj>
        </w:sdtPr>
        <w:sdtEndPr/>
        <w:sdtContent>
          <w:p w14:paraId="6831652D" w14:textId="77777777" w:rsidR="00E209F6" w:rsidRDefault="00E209F6" w:rsidP="00F11DC0">
            <w:pPr>
              <w:pStyle w:val="Footer"/>
              <w:pBdr>
                <w:top w:val="single" w:sz="4" w:space="1" w:color="003629"/>
              </w:pBdr>
              <w:jc w:val="center"/>
            </w:pPr>
            <w:r>
              <w:t xml:space="preserve">Page </w:t>
            </w:r>
            <w:r>
              <w:rPr>
                <w:b/>
                <w:bCs/>
                <w:sz w:val="24"/>
              </w:rPr>
              <w:fldChar w:fldCharType="begin"/>
            </w:r>
            <w:r>
              <w:rPr>
                <w:b/>
                <w:bCs/>
              </w:rPr>
              <w:instrText xml:space="preserve"> PAGE </w:instrText>
            </w:r>
            <w:r>
              <w:rPr>
                <w:b/>
                <w:bCs/>
                <w:sz w:val="24"/>
              </w:rPr>
              <w:fldChar w:fldCharType="separate"/>
            </w:r>
            <w:r>
              <w:rPr>
                <w:b/>
                <w:bCs/>
                <w:sz w:val="24"/>
              </w:rPr>
              <w:t>28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62</w:t>
            </w:r>
            <w:r>
              <w:rPr>
                <w:b/>
                <w:bCs/>
                <w:sz w:val="24"/>
              </w:rPr>
              <w:fldChar w:fldCharType="end"/>
            </w:r>
          </w:p>
        </w:sdtContent>
      </w:sdt>
    </w:sdtContent>
  </w:sdt>
  <w:p w14:paraId="4A0355ED" w14:textId="2E69D12F" w:rsidR="00E209F6" w:rsidRDefault="00FF24C4" w:rsidP="00F11DC0">
    <w:pPr>
      <w:pStyle w:val="Footer"/>
      <w:tabs>
        <w:tab w:val="clear" w:pos="0"/>
      </w:tabs>
    </w:pPr>
    <w:r w:rsidRPr="00FF24C4">
      <w:t>GDF-NWS-SCDP-AXX-CC-CS-000015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4CB0" w14:textId="77777777" w:rsidR="00910D84" w:rsidRDefault="00910D84" w:rsidP="00861618">
      <w:r>
        <w:separator/>
      </w:r>
    </w:p>
  </w:footnote>
  <w:footnote w:type="continuationSeparator" w:id="0">
    <w:p w14:paraId="6CA6D227" w14:textId="77777777" w:rsidR="00910D84" w:rsidRDefault="00910D84" w:rsidP="00861618">
      <w:r>
        <w:continuationSeparator/>
      </w:r>
    </w:p>
  </w:footnote>
  <w:footnote w:type="continuationNotice" w:id="1">
    <w:p w14:paraId="62B7EBE1" w14:textId="77777777" w:rsidR="00910D84" w:rsidRDefault="00910D8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C62C" w14:textId="6A5F8369" w:rsidR="00F528D2" w:rsidRDefault="00E97672">
    <w:r>
      <w:rPr>
        <w:noProof/>
      </w:rPr>
      <mc:AlternateContent>
        <mc:Choice Requires="wps">
          <w:drawing>
            <wp:anchor distT="0" distB="0" distL="0" distR="0" simplePos="0" relativeHeight="251658241" behindDoc="0" locked="0" layoutInCell="1" allowOverlap="1" wp14:anchorId="6D413021" wp14:editId="1D2E3961">
              <wp:simplePos x="635" y="635"/>
              <wp:positionH relativeFrom="page">
                <wp:align>center</wp:align>
              </wp:positionH>
              <wp:positionV relativeFrom="page">
                <wp:align>top</wp:align>
              </wp:positionV>
              <wp:extent cx="443865" cy="443865"/>
              <wp:effectExtent l="0" t="0" r="16510"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13021" id="_x0000_t202" coordsize="21600,21600" o:spt="202" path="m,l,21600r21600,l21600,xe">
              <v:stroke joinstyle="miter"/>
              <v:path gradientshapeok="t" o:connecttype="rect"/>
            </v:shapetype>
            <v:shape id="Text Box 8"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1D1251D" w14:textId="5F89A1CD" w:rsidR="00E97672" w:rsidRPr="00E97672" w:rsidRDefault="00E97672" w:rsidP="00E97672">
                    <w:pPr>
                      <w:rPr>
                        <w:rFonts w:ascii="Calibri" w:eastAsia="Calibri" w:hAnsi="Calibri" w:cs="Calibri"/>
                        <w:noProof/>
                        <w:color w:val="000000"/>
                        <w:sz w:val="20"/>
                        <w:szCs w:val="20"/>
                      </w:rPr>
                    </w:pPr>
                    <w:r w:rsidRPr="00E97672">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50FC" w14:textId="77777777" w:rsidR="00A17C2C" w:rsidRDefault="00A17C2C" w:rsidP="00DA6821">
    <w:pPr>
      <w:pStyle w:val="PROTECTIVEMARKING"/>
      <w:tabs>
        <w:tab w:val="clear" w:pos="4153"/>
        <w:tab w:val="clear" w:pos="8306"/>
      </w:tabs>
      <w:spacing w:before="0" w:after="0"/>
    </w:pPr>
  </w:p>
  <w:p w14:paraId="3C8043E1" w14:textId="720ED00E" w:rsidR="00F528D2" w:rsidRDefault="00932B8D" w:rsidP="00DA6821">
    <w:pPr>
      <w:pStyle w:val="PROTECTIVEMARKING"/>
      <w:tabs>
        <w:tab w:val="clear" w:pos="4153"/>
        <w:tab w:val="clear" w:pos="8306"/>
      </w:tabs>
      <w:spacing w:before="0" w:after="0"/>
    </w:pPr>
    <w:r w:rsidRPr="00CB42C7">
      <w:rPr>
        <w:b w:val="0"/>
        <w:bCs/>
        <w:noProof/>
      </w:rPr>
      <w:drawing>
        <wp:anchor distT="0" distB="0" distL="114300" distR="114300" simplePos="0" relativeHeight="251658242" behindDoc="1" locked="0" layoutInCell="1" allowOverlap="1" wp14:anchorId="27A299D4" wp14:editId="087FC318">
          <wp:simplePos x="0" y="0"/>
          <wp:positionH relativeFrom="column">
            <wp:posOffset>-295275</wp:posOffset>
          </wp:positionH>
          <wp:positionV relativeFrom="page">
            <wp:posOffset>179705</wp:posOffset>
          </wp:positionV>
          <wp:extent cx="2048400" cy="752400"/>
          <wp:effectExtent l="0" t="0" r="0" b="0"/>
          <wp:wrapNone/>
          <wp:docPr id="136497793" name="Picture 13649779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8400" cy="752400"/>
                  </a:xfrm>
                  <a:prstGeom prst="rect">
                    <a:avLst/>
                  </a:prstGeom>
                </pic:spPr>
              </pic:pic>
            </a:graphicData>
          </a:graphic>
          <wp14:sizeRelH relativeFrom="page">
            <wp14:pctWidth>0</wp14:pctWidth>
          </wp14:sizeRelH>
          <wp14:sizeRelV relativeFrom="page">
            <wp14:pctHeight>0</wp14:pctHeight>
          </wp14:sizeRelV>
        </wp:anchor>
      </w:drawing>
    </w:r>
    <w:r w:rsidR="008F2689" w:rsidRPr="008F2689">
      <w:rPr>
        <w:rFonts w:ascii="Calibri" w:eastAsia="Arial" w:hAnsi="Calibri" w:cs="Arial"/>
        <w:color w:val="FFFFFF"/>
        <w:sz w:val="20"/>
        <w:szCs w:val="22"/>
      </w:rPr>
      <w:t xml:space="preserve"> </w:t>
    </w:r>
    <w:sdt>
      <w:sdtPr>
        <w:rPr>
          <w:rFonts w:ascii="Calibri" w:eastAsia="Arial" w:hAnsi="Calibri" w:cs="Arial"/>
          <w:sz w:val="20"/>
          <w:szCs w:val="22"/>
        </w:rPr>
        <w:tag w:val="Classification"/>
        <w:id w:val="1607692697"/>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8F2689" w:rsidRPr="008F2689">
          <w:rPr>
            <w:rFonts w:ascii="Calibri" w:eastAsia="Arial" w:hAnsi="Calibri" w:cs="Arial"/>
            <w:sz w:val="20"/>
            <w:szCs w:val="22"/>
          </w:rPr>
          <w:t>OFFICIAL: PUBLIC DRAFT FOR DISCUSSION</w:t>
        </w:r>
      </w:sdtContent>
    </w:sdt>
  </w:p>
  <w:p w14:paraId="62AEB0FD" w14:textId="5C36B47D" w:rsidR="00817737" w:rsidRDefault="00370D00" w:rsidP="009A6112">
    <w:pPr>
      <w:pStyle w:val="PROTECTIVEMARKING"/>
      <w:spacing w:before="0" w:after="0"/>
    </w:pPr>
    <w:r>
      <w:rPr>
        <w:caps w:val="0"/>
      </w:rPr>
      <w:t>Site Characterisation Delivery Partner</w:t>
    </w:r>
  </w:p>
  <w:p w14:paraId="1D91AE19" w14:textId="5C8F23E3" w:rsidR="00F528D2" w:rsidRDefault="003B0027" w:rsidP="009A6112">
    <w:pPr>
      <w:pStyle w:val="PROTECTIVEMARKING"/>
      <w:pBdr>
        <w:bottom w:val="single" w:sz="8" w:space="7" w:color="003629"/>
      </w:pBdr>
      <w:tabs>
        <w:tab w:val="clear" w:pos="4153"/>
        <w:tab w:val="clear" w:pos="8306"/>
      </w:tabs>
      <w:spacing w:before="0" w:after="0"/>
    </w:pPr>
    <w:r>
      <w:rPr>
        <w:rFonts w:ascii="Times New Roman" w:hAnsi="Times New Roman"/>
        <w:noProof/>
        <w:lang w:eastAsia="en-GB"/>
      </w:rPr>
      <mc:AlternateContent>
        <mc:Choice Requires="wps">
          <w:drawing>
            <wp:anchor distT="0" distB="0" distL="114300" distR="114300" simplePos="0" relativeHeight="251660295" behindDoc="0" locked="0" layoutInCell="1" allowOverlap="1" wp14:anchorId="7A60A1F7" wp14:editId="7D0ACD9D">
              <wp:simplePos x="0" y="0"/>
              <wp:positionH relativeFrom="page">
                <wp:align>center</wp:align>
              </wp:positionH>
              <wp:positionV relativeFrom="paragraph">
                <wp:posOffset>3190874</wp:posOffset>
              </wp:positionV>
              <wp:extent cx="6134100" cy="3691268"/>
              <wp:effectExtent l="514350" t="1238250" r="457200" b="1242695"/>
              <wp:wrapNone/>
              <wp:docPr id="245742194"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53B4DD00" w14:textId="77777777" w:rsidR="003B0027" w:rsidRPr="003B0027" w:rsidRDefault="003B0027" w:rsidP="003B0027">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A60A1F7" id="_x0000_t202" coordsize="21600,21600" o:spt="202" path="m,l,21600r21600,l21600,xe">
              <v:stroke joinstyle="miter"/>
              <v:path gradientshapeok="t" o:connecttype="rect"/>
            </v:shapetype>
            <v:shape id="Text Box 1" o:spid="_x0000_s1027" type="#_x0000_t202" style="position:absolute;left:0;text-align:left;margin-left:0;margin-top:251.25pt;width:483pt;height:290.65pt;rotation:-1853689fd;z-index:25166029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" fillcolor="white [3201]" stroked="f" strokeweight=".5pt">
              <v:textbox>
                <w:txbxContent>
                  <w:p w14:paraId="53B4DD00" w14:textId="77777777" w:rsidR="003B0027" w:rsidRPr="003B0027" w:rsidRDefault="003B0027" w:rsidP="003B0027">
                    <w:pPr>
                      <w:jc w:val="center"/>
                      <w:rPr>
                        <w:color w:val="DBDBDB"/>
                        <w:sz w:val="144"/>
                        <w:szCs w:val="160"/>
                      </w:rPr>
                    </w:pPr>
                    <w:r w:rsidRPr="003B0027">
                      <w:rPr>
                        <w:color w:val="DBDBDB"/>
                        <w:sz w:val="144"/>
                        <w:szCs w:val="160"/>
                      </w:rPr>
                      <w:t>PUBLIC DRAFT</w:t>
                    </w:r>
                    <w:r>
                      <w:rPr>
                        <w:color w:val="DBDBDB"/>
                        <w:sz w:val="144"/>
                        <w:szCs w:val="160"/>
                      </w:rPr>
                      <w:t xml:space="preserve"> FOR DISCUSSION</w:t>
                    </w:r>
                  </w:p>
                </w:txbxContent>
              </v:textbox>
              <w10:wrap anchorx="page"/>
            </v:shape>
          </w:pict>
        </mc:Fallback>
      </mc:AlternateContent>
    </w:r>
    <w:r w:rsidR="00370D00">
      <w:rPr>
        <w:caps w:val="0"/>
      </w:rPr>
      <w:t>Self-Funded Incentive Handbook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B1B3" w14:textId="79C97E30" w:rsidR="00F528D2" w:rsidRPr="0096755E" w:rsidRDefault="0096755E" w:rsidP="0096755E">
    <w:pPr>
      <w:tabs>
        <w:tab w:val="center" w:pos="4513"/>
        <w:tab w:val="center" w:pos="4677"/>
        <w:tab w:val="left" w:pos="5130"/>
        <w:tab w:val="right" w:pos="9026"/>
      </w:tabs>
      <w:spacing w:before="0"/>
      <w:rPr>
        <w:rFonts w:ascii="Calibri" w:eastAsia="Arial" w:hAnsi="Calibri" w:cs="Arial"/>
        <w:caps/>
        <w:color w:val="FFFFFF"/>
        <w:sz w:val="20"/>
        <w:szCs w:val="22"/>
      </w:rPr>
    </w:pPr>
    <w:r w:rsidRPr="0096755E">
      <w:rPr>
        <w:rFonts w:ascii="Calibri" w:eastAsia="Arial" w:hAnsi="Calibri" w:cs="Arial"/>
        <w:caps/>
        <w:noProof/>
        <w:color w:val="FFFFFF"/>
        <w:sz w:val="20"/>
        <w:szCs w:val="22"/>
      </w:rPr>
      <w:drawing>
        <wp:anchor distT="0" distB="0" distL="114300" distR="114300" simplePos="0" relativeHeight="251658243" behindDoc="0" locked="0" layoutInCell="1" allowOverlap="1" wp14:anchorId="76A41325" wp14:editId="72B9F016">
          <wp:simplePos x="0" y="0"/>
          <wp:positionH relativeFrom="margin">
            <wp:posOffset>-200025</wp:posOffset>
          </wp:positionH>
          <wp:positionV relativeFrom="page">
            <wp:posOffset>363855</wp:posOffset>
          </wp:positionV>
          <wp:extent cx="2242185" cy="575310"/>
          <wp:effectExtent l="0" t="0" r="5715" b="0"/>
          <wp:wrapSquare wrapText="bothSides"/>
          <wp:docPr id="886519465" name="Picture 886519465"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40455" name="Picture 1263840455" descr="A close-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2185" cy="575310"/>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Arial" w:hAnsi="Calibri" w:cs="Arial"/>
          <w:color w:val="FFFFFF"/>
          <w:sz w:val="20"/>
          <w:szCs w:val="22"/>
        </w:rPr>
        <w:tag w:val="Classification"/>
        <w:id w:val="1351690695"/>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8F2689">
          <w:rPr>
            <w:rFonts w:ascii="Calibri" w:eastAsia="Arial" w:hAnsi="Calibri" w:cs="Arial"/>
            <w:color w:val="FFFFFF"/>
            <w:sz w:val="20"/>
            <w:szCs w:val="22"/>
          </w:rPr>
          <w:t>OFFICIAL: PUBLIC DRAFT FOR DISCUSSION</w:t>
        </w:r>
      </w:sdtContent>
    </w:sdt>
    <w:r w:rsidRPr="0096755E">
      <w:rPr>
        <w:rFonts w:ascii="Calibri" w:eastAsia="Arial" w:hAnsi="Calibri" w:cs="Arial"/>
        <w:caps/>
        <w:noProof/>
        <w:color w:val="FFFFFF"/>
        <w:sz w:val="20"/>
        <w:szCs w:val="22"/>
      </w:rPr>
      <mc:AlternateContent>
        <mc:Choice Requires="wps">
          <w:drawing>
            <wp:anchor distT="0" distB="0" distL="114300" distR="114300" simplePos="0" relativeHeight="251658244" behindDoc="1" locked="0" layoutInCell="1" allowOverlap="1" wp14:anchorId="4741DC6B" wp14:editId="44B1DE25">
              <wp:simplePos x="0" y="0"/>
              <wp:positionH relativeFrom="page">
                <wp:align>center</wp:align>
              </wp:positionH>
              <wp:positionV relativeFrom="page">
                <wp:align>center</wp:align>
              </wp:positionV>
              <wp:extent cx="7560000" cy="10691640"/>
              <wp:effectExtent l="0" t="0" r="3175" b="0"/>
              <wp:wrapNone/>
              <wp:docPr id="32" name="Rectangle 32"/>
              <wp:cNvGraphicFramePr/>
              <a:graphic xmlns:a="http://schemas.openxmlformats.org/drawingml/2006/main">
                <a:graphicData uri="http://schemas.microsoft.com/office/word/2010/wordprocessingShape">
                  <wps:wsp>
                    <wps:cNvSpPr/>
                    <wps:spPr>
                      <a:xfrm>
                        <a:off x="0" y="0"/>
                        <a:ext cx="7560000" cy="10691640"/>
                      </a:xfrm>
                      <a:prstGeom prst="rect">
                        <a:avLst/>
                      </a:prstGeom>
                      <a:solidFill>
                        <a:srgbClr val="00362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EA251" id="Rectangle 32" o:spid="_x0000_s1026" style="position:absolute;margin-left:0;margin-top:0;width:595.3pt;height:841.85pt;z-index:-25165823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" fillcolor="#003629" strok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3617" w14:textId="77777777" w:rsidR="005D7BC1" w:rsidRDefault="005D7BC1" w:rsidP="00C12117">
    <w:pPr>
      <w:pStyle w:val="PROTECTIVEMARKING"/>
      <w:tabs>
        <w:tab w:val="clear" w:pos="4153"/>
        <w:tab w:val="clear" w:pos="8306"/>
      </w:tabs>
      <w:spacing w:before="0" w:after="0"/>
      <w:rPr>
        <w:caps w:val="0"/>
      </w:rPr>
    </w:pPr>
  </w:p>
  <w:p w14:paraId="0B0B7B68" w14:textId="6B51031A" w:rsidR="00E5189C" w:rsidRDefault="00306616" w:rsidP="00C12117">
    <w:pPr>
      <w:pStyle w:val="PROTECTIVEMARKING"/>
      <w:tabs>
        <w:tab w:val="clear" w:pos="4153"/>
        <w:tab w:val="clear" w:pos="8306"/>
      </w:tabs>
      <w:spacing w:before="0" w:after="0"/>
      <w:rPr>
        <w:caps w:val="0"/>
      </w:rPr>
    </w:pPr>
    <w:r w:rsidRPr="00CB42C7">
      <w:rPr>
        <w:b w:val="0"/>
        <w:bCs/>
        <w:noProof/>
      </w:rPr>
      <w:drawing>
        <wp:anchor distT="0" distB="0" distL="114300" distR="114300" simplePos="0" relativeHeight="251658246" behindDoc="1" locked="0" layoutInCell="1" allowOverlap="1" wp14:anchorId="1B649584" wp14:editId="23AC6D3C">
          <wp:simplePos x="0" y="0"/>
          <wp:positionH relativeFrom="page">
            <wp:posOffset>379095</wp:posOffset>
          </wp:positionH>
          <wp:positionV relativeFrom="page">
            <wp:posOffset>163992</wp:posOffset>
          </wp:positionV>
          <wp:extent cx="2047875" cy="751840"/>
          <wp:effectExtent l="0" t="0" r="9525" b="0"/>
          <wp:wrapNone/>
          <wp:docPr id="1610315005" name="Picture 161031500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7875" cy="751840"/>
                  </a:xfrm>
                  <a:prstGeom prst="rect">
                    <a:avLst/>
                  </a:prstGeom>
                </pic:spPr>
              </pic:pic>
            </a:graphicData>
          </a:graphic>
          <wp14:sizeRelH relativeFrom="page">
            <wp14:pctWidth>0</wp14:pctWidth>
          </wp14:sizeRelH>
          <wp14:sizeRelV relativeFrom="page">
            <wp14:pctHeight>0</wp14:pctHeight>
          </wp14:sizeRelV>
        </wp:anchor>
      </w:drawing>
    </w:r>
    <w:r w:rsidR="008F2689" w:rsidRPr="008F2689">
      <w:rPr>
        <w:rFonts w:ascii="Calibri" w:eastAsia="Arial" w:hAnsi="Calibri" w:cs="Arial"/>
        <w:color w:val="FFFFFF"/>
        <w:sz w:val="20"/>
        <w:szCs w:val="22"/>
      </w:rPr>
      <w:t xml:space="preserve"> </w:t>
    </w:r>
    <w:sdt>
      <w:sdtPr>
        <w:rPr>
          <w:rFonts w:ascii="Calibri" w:eastAsia="Arial" w:hAnsi="Calibri" w:cs="Arial"/>
          <w:sz w:val="20"/>
          <w:szCs w:val="22"/>
        </w:rPr>
        <w:tag w:val="Classification"/>
        <w:id w:val="-70504401"/>
        <w:dataBinding w:xpath="/root[1]/security[1]" w:storeItemID="{435444C0-AFFD-44C3-AA5D-D9F88324315A}"/>
        <w:dropDownList>
          <w:listItem w:displayText=" " w:value=" "/>
          <w:listItem w:displayText="OFFICIAL" w:value="OFFICIAL"/>
          <w:listItem w:displayText="OFFICIAL: FOR PUBLIC RELEASE" w:value="OFFICIAL: FOR PUBLIC RELEASE"/>
          <w:listItem w:displayText="OFFICIAL-SENSITIVE" w:value="OFFICIAL-SENSITIVE"/>
          <w:listItem w:displayText="OFFICIAL-SENSITIVE: SNI" w:value="OFFICIAL-SENSITIVE: SNI"/>
          <w:listItem w:displayText="OFFICIAL-SENSITIVE: COMMERCIAL" w:value="OFFICIAL-SENSITIVE: COMMERCIAL"/>
          <w:listItem w:displayText="OFFICIAL-SENSITIVE: PERSONAL" w:value="OFFICIAL-SENSITIVE: PERSONAL"/>
          <w:listItem w:displayText="OFFICIAL: PUBLIC DRAFT FOR DISCUSSION" w:value="OFFICIAL: PUBLIC DRAFT FOR DISCUSSION"/>
        </w:dropDownList>
      </w:sdtPr>
      <w:sdtEndPr/>
      <w:sdtContent>
        <w:r w:rsidR="008F2689" w:rsidRPr="008F2689">
          <w:rPr>
            <w:rFonts w:ascii="Calibri" w:eastAsia="Arial" w:hAnsi="Calibri" w:cs="Arial"/>
            <w:sz w:val="20"/>
            <w:szCs w:val="22"/>
          </w:rPr>
          <w:t>OFFICIAL: PUBLIC DRAFT FOR DISCUSSION</w:t>
        </w:r>
      </w:sdtContent>
    </w:sdt>
  </w:p>
  <w:p w14:paraId="4353C36C" w14:textId="42B54FA2" w:rsidR="001F6748" w:rsidRDefault="00C12117" w:rsidP="00C12117">
    <w:pPr>
      <w:pStyle w:val="PROTECTIVEMARKING"/>
      <w:tabs>
        <w:tab w:val="clear" w:pos="4153"/>
        <w:tab w:val="clear" w:pos="8306"/>
      </w:tabs>
      <w:spacing w:before="0" w:after="0"/>
    </w:pPr>
    <w:r>
      <w:rPr>
        <w:caps w:val="0"/>
      </w:rPr>
      <w:t>S</w:t>
    </w:r>
    <w:r w:rsidR="00EE50E5">
      <w:rPr>
        <w:caps w:val="0"/>
      </w:rPr>
      <w:t xml:space="preserve">ite </w:t>
    </w:r>
    <w:r>
      <w:rPr>
        <w:caps w:val="0"/>
      </w:rPr>
      <w:t>C</w:t>
    </w:r>
    <w:r w:rsidR="00EE50E5">
      <w:rPr>
        <w:caps w:val="0"/>
      </w:rPr>
      <w:t xml:space="preserve">haracterisation </w:t>
    </w:r>
    <w:r>
      <w:rPr>
        <w:caps w:val="0"/>
      </w:rPr>
      <w:t>D</w:t>
    </w:r>
    <w:r w:rsidR="00EE50E5">
      <w:rPr>
        <w:caps w:val="0"/>
      </w:rPr>
      <w:t xml:space="preserve">elivery </w:t>
    </w:r>
    <w:r>
      <w:rPr>
        <w:caps w:val="0"/>
      </w:rPr>
      <w:t>P</w:t>
    </w:r>
    <w:r w:rsidR="00EE50E5">
      <w:rPr>
        <w:caps w:val="0"/>
      </w:rPr>
      <w:t>artner</w:t>
    </w:r>
  </w:p>
  <w:p w14:paraId="76E07139" w14:textId="2DCA800D" w:rsidR="001F6748" w:rsidRPr="005D7BC1" w:rsidRDefault="00E5265C" w:rsidP="005D7BC1">
    <w:pPr>
      <w:pStyle w:val="PROTECTIVEMARKING"/>
      <w:pBdr>
        <w:bottom w:val="single" w:sz="8" w:space="7" w:color="003629"/>
      </w:pBdr>
      <w:tabs>
        <w:tab w:val="clear" w:pos="4153"/>
        <w:tab w:val="clear" w:pos="8306"/>
        <w:tab w:val="center" w:pos="4785"/>
        <w:tab w:val="left" w:pos="6614"/>
      </w:tabs>
      <w:spacing w:before="0" w:after="0"/>
    </w:pPr>
    <w:r>
      <w:rPr>
        <w:rFonts w:ascii="Times New Roman" w:hAnsi="Times New Roman"/>
        <w:noProof/>
        <w:lang w:eastAsia="en-GB"/>
      </w:rPr>
      <mc:AlternateContent>
        <mc:Choice Requires="wps">
          <w:drawing>
            <wp:anchor distT="0" distB="0" distL="114300" distR="114300" simplePos="0" relativeHeight="251658247" behindDoc="0" locked="0" layoutInCell="1" allowOverlap="1" wp14:anchorId="1AD09560" wp14:editId="66E90F15">
              <wp:simplePos x="0" y="0"/>
              <wp:positionH relativeFrom="page">
                <wp:align>center</wp:align>
              </wp:positionH>
              <wp:positionV relativeFrom="paragraph">
                <wp:posOffset>3197225</wp:posOffset>
              </wp:positionV>
              <wp:extent cx="6134100" cy="3691268"/>
              <wp:effectExtent l="514350" t="1238250" r="457200" b="1242695"/>
              <wp:wrapNone/>
              <wp:docPr id="1038109328" name="Text Box 1"/>
              <wp:cNvGraphicFramePr/>
              <a:graphic xmlns:a="http://schemas.openxmlformats.org/drawingml/2006/main">
                <a:graphicData uri="http://schemas.microsoft.com/office/word/2010/wordprocessingShape">
                  <wps:wsp>
                    <wps:cNvSpPr txBox="1"/>
                    <wps:spPr>
                      <a:xfrm rot="19902897">
                        <a:off x="0" y="0"/>
                        <a:ext cx="6134100" cy="3691268"/>
                      </a:xfrm>
                      <a:prstGeom prst="rect">
                        <a:avLst/>
                      </a:prstGeom>
                      <a:solidFill>
                        <a:schemeClr val="lt1"/>
                      </a:solidFill>
                      <a:ln w="6350">
                        <a:noFill/>
                      </a:ln>
                    </wps:spPr>
                    <wps:txbx>
                      <w:txbxContent>
                        <w:p w14:paraId="68D7B5D9" w14:textId="5D84B8F9" w:rsidR="004616FC" w:rsidRPr="003B0027" w:rsidRDefault="003B0027" w:rsidP="004616FC">
                          <w:pPr>
                            <w:jc w:val="center"/>
                            <w:rPr>
                              <w:color w:val="DBDBDB"/>
                              <w:sz w:val="144"/>
                              <w:szCs w:val="160"/>
                            </w:rPr>
                          </w:pPr>
                          <w:r w:rsidRPr="003B0027">
                            <w:rPr>
                              <w:color w:val="DBDBDB"/>
                              <w:sz w:val="144"/>
                              <w:szCs w:val="160"/>
                            </w:rPr>
                            <w:t xml:space="preserve">PUBLIC </w:t>
                          </w:r>
                          <w:r w:rsidR="004616FC" w:rsidRPr="003B0027">
                            <w:rPr>
                              <w:color w:val="DBDBDB"/>
                              <w:sz w:val="144"/>
                              <w:szCs w:val="160"/>
                            </w:rPr>
                            <w:t>DRAFT</w:t>
                          </w:r>
                          <w:r>
                            <w:rPr>
                              <w:color w:val="DBDBDB"/>
                              <w:sz w:val="144"/>
                              <w:szCs w:val="160"/>
                            </w:rPr>
                            <w:t xml:space="preserve"> FOR DISCUSSION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D09560" id="_x0000_t202" coordsize="21600,21600" o:spt="202" path="m,l,21600r21600,l21600,xe">
              <v:stroke joinstyle="miter"/>
              <v:path gradientshapeok="t" o:connecttype="rect"/>
            </v:shapetype>
            <v:shape id="_x0000_s1028" type="#_x0000_t202" style="position:absolute;left:0;text-align:left;margin-left:0;margin-top:251.75pt;width:483pt;height:290.65pt;rotation:-1853689fd;z-index:25165824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" fillcolor="white [3201]" stroked="f" strokeweight=".5pt">
              <v:textbox>
                <w:txbxContent>
                  <w:p w14:paraId="68D7B5D9" w14:textId="5D84B8F9" w:rsidR="004616FC" w:rsidRPr="003B0027" w:rsidRDefault="003B0027" w:rsidP="004616FC">
                    <w:pPr>
                      <w:jc w:val="center"/>
                      <w:rPr>
                        <w:color w:val="DBDBDB"/>
                        <w:sz w:val="144"/>
                        <w:szCs w:val="160"/>
                      </w:rPr>
                    </w:pPr>
                    <w:r w:rsidRPr="003B0027">
                      <w:rPr>
                        <w:color w:val="DBDBDB"/>
                        <w:sz w:val="144"/>
                        <w:szCs w:val="160"/>
                      </w:rPr>
                      <w:t xml:space="preserve">PUBLIC </w:t>
                    </w:r>
                    <w:r w:rsidR="004616FC" w:rsidRPr="003B0027">
                      <w:rPr>
                        <w:color w:val="DBDBDB"/>
                        <w:sz w:val="144"/>
                        <w:szCs w:val="160"/>
                      </w:rPr>
                      <w:t>DRAFT</w:t>
                    </w:r>
                    <w:r>
                      <w:rPr>
                        <w:color w:val="DBDBDB"/>
                        <w:sz w:val="144"/>
                        <w:szCs w:val="160"/>
                      </w:rPr>
                      <w:t xml:space="preserve"> FOR DISCUSSION</w:t>
                    </w:r>
                  </w:p>
                </w:txbxContent>
              </v:textbox>
              <w10:wrap anchorx="page"/>
            </v:shape>
          </w:pict>
        </mc:Fallback>
      </mc:AlternateContent>
    </w:r>
    <w:r w:rsidR="005D7BC1">
      <w:rPr>
        <w:caps w:val="0"/>
      </w:rPr>
      <w:t xml:space="preserve">Self-Funded </w:t>
    </w:r>
    <w:r w:rsidR="00EE50E5">
      <w:rPr>
        <w:caps w:val="0"/>
      </w:rPr>
      <w:t>Incentive Handbook</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1D6C"/>
    <w:multiLevelType w:val="hybridMultilevel"/>
    <w:tmpl w:val="2334D7A0"/>
    <w:lvl w:ilvl="0" w:tplc="BE6249B0">
      <w:start w:val="1"/>
      <w:numFmt w:val="lowerLetter"/>
      <w:pStyle w:val="Letteredlis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00421"/>
    <w:multiLevelType w:val="hybridMultilevel"/>
    <w:tmpl w:val="FFFFFFFF"/>
    <w:lvl w:ilvl="0" w:tplc="07E8B5FC">
      <w:start w:val="1"/>
      <w:numFmt w:val="bullet"/>
      <w:lvlText w:val=""/>
      <w:lvlJc w:val="left"/>
      <w:pPr>
        <w:ind w:left="780" w:hanging="360"/>
      </w:pPr>
      <w:rPr>
        <w:rFonts w:ascii="Symbol" w:hAnsi="Symbol" w:hint="default"/>
      </w:rPr>
    </w:lvl>
    <w:lvl w:ilvl="1" w:tplc="184A1F08">
      <w:start w:val="1"/>
      <w:numFmt w:val="bullet"/>
      <w:lvlText w:val="o"/>
      <w:lvlJc w:val="left"/>
      <w:pPr>
        <w:ind w:left="1440" w:hanging="360"/>
      </w:pPr>
      <w:rPr>
        <w:rFonts w:ascii="Courier New" w:hAnsi="Courier New" w:hint="default"/>
      </w:rPr>
    </w:lvl>
    <w:lvl w:ilvl="2" w:tplc="B55E54E4">
      <w:start w:val="1"/>
      <w:numFmt w:val="bullet"/>
      <w:lvlText w:val=""/>
      <w:lvlJc w:val="left"/>
      <w:pPr>
        <w:ind w:left="2160" w:hanging="360"/>
      </w:pPr>
      <w:rPr>
        <w:rFonts w:ascii="Wingdings" w:hAnsi="Wingdings" w:hint="default"/>
      </w:rPr>
    </w:lvl>
    <w:lvl w:ilvl="3" w:tplc="28BC0DBA">
      <w:start w:val="1"/>
      <w:numFmt w:val="bullet"/>
      <w:lvlText w:val=""/>
      <w:lvlJc w:val="left"/>
      <w:pPr>
        <w:ind w:left="2880" w:hanging="360"/>
      </w:pPr>
      <w:rPr>
        <w:rFonts w:ascii="Symbol" w:hAnsi="Symbol" w:hint="default"/>
      </w:rPr>
    </w:lvl>
    <w:lvl w:ilvl="4" w:tplc="E420568E">
      <w:start w:val="1"/>
      <w:numFmt w:val="bullet"/>
      <w:lvlText w:val="o"/>
      <w:lvlJc w:val="left"/>
      <w:pPr>
        <w:ind w:left="3600" w:hanging="360"/>
      </w:pPr>
      <w:rPr>
        <w:rFonts w:ascii="Courier New" w:hAnsi="Courier New" w:hint="default"/>
      </w:rPr>
    </w:lvl>
    <w:lvl w:ilvl="5" w:tplc="1C16FD3E">
      <w:start w:val="1"/>
      <w:numFmt w:val="bullet"/>
      <w:lvlText w:val=""/>
      <w:lvlJc w:val="left"/>
      <w:pPr>
        <w:ind w:left="4320" w:hanging="360"/>
      </w:pPr>
      <w:rPr>
        <w:rFonts w:ascii="Wingdings" w:hAnsi="Wingdings" w:hint="default"/>
      </w:rPr>
    </w:lvl>
    <w:lvl w:ilvl="6" w:tplc="DEB2EC28">
      <w:start w:val="1"/>
      <w:numFmt w:val="bullet"/>
      <w:lvlText w:val=""/>
      <w:lvlJc w:val="left"/>
      <w:pPr>
        <w:ind w:left="5040" w:hanging="360"/>
      </w:pPr>
      <w:rPr>
        <w:rFonts w:ascii="Symbol" w:hAnsi="Symbol" w:hint="default"/>
      </w:rPr>
    </w:lvl>
    <w:lvl w:ilvl="7" w:tplc="7D967F9C">
      <w:start w:val="1"/>
      <w:numFmt w:val="bullet"/>
      <w:lvlText w:val="o"/>
      <w:lvlJc w:val="left"/>
      <w:pPr>
        <w:ind w:left="5760" w:hanging="360"/>
      </w:pPr>
      <w:rPr>
        <w:rFonts w:ascii="Courier New" w:hAnsi="Courier New" w:hint="default"/>
      </w:rPr>
    </w:lvl>
    <w:lvl w:ilvl="8" w:tplc="25FE0E2E">
      <w:start w:val="1"/>
      <w:numFmt w:val="bullet"/>
      <w:lvlText w:val=""/>
      <w:lvlJc w:val="left"/>
      <w:pPr>
        <w:ind w:left="6480" w:hanging="360"/>
      </w:pPr>
      <w:rPr>
        <w:rFonts w:ascii="Wingdings" w:hAnsi="Wingdings" w:hint="default"/>
      </w:rPr>
    </w:lvl>
  </w:abstractNum>
  <w:abstractNum w:abstractNumId="2" w15:restartNumberingAfterBreak="0">
    <w:nsid w:val="23DD0EA7"/>
    <w:multiLevelType w:val="multilevel"/>
    <w:tmpl w:val="89446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A258C"/>
    <w:multiLevelType w:val="multilevel"/>
    <w:tmpl w:val="8674B436"/>
    <w:lvl w:ilvl="0">
      <w:start w:val="1"/>
      <w:numFmt w:val="decimal"/>
      <w:pStyle w:val="Heading1"/>
      <w:lvlText w:val="%1"/>
      <w:lvlJc w:val="left"/>
      <w:pPr>
        <w:ind w:left="432" w:hanging="432"/>
      </w:pPr>
      <w:rPr>
        <w:b/>
        <w:bCs/>
        <w:i w:val="0"/>
        <w:iCs/>
        <w:color w:val="003629"/>
        <w:sz w:val="40"/>
        <w:szCs w:val="40"/>
      </w:rPr>
    </w:lvl>
    <w:lvl w:ilvl="1">
      <w:start w:val="1"/>
      <w:numFmt w:val="decimal"/>
      <w:pStyle w:val="Heading2"/>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sz w:val="28"/>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i w:val="0"/>
        <w:iCs w:val="0"/>
        <w:color w:val="003629"/>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E5D5278"/>
    <w:multiLevelType w:val="hybridMultilevel"/>
    <w:tmpl w:val="BD9C96DE"/>
    <w:lvl w:ilvl="0" w:tplc="9E8CD72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7738BF"/>
    <w:multiLevelType w:val="hybridMultilevel"/>
    <w:tmpl w:val="A2C04A3A"/>
    <w:lvl w:ilvl="0" w:tplc="10A6F606">
      <w:start w:val="1"/>
      <w:numFmt w:val="upperLetter"/>
      <w:pStyle w:val="LetteredList1"/>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746D73"/>
    <w:multiLevelType w:val="hybridMultilevel"/>
    <w:tmpl w:val="4CF83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706C4"/>
    <w:multiLevelType w:val="hybridMultilevel"/>
    <w:tmpl w:val="9BD0E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DB659"/>
    <w:multiLevelType w:val="hybridMultilevel"/>
    <w:tmpl w:val="FFFFFFFF"/>
    <w:lvl w:ilvl="0" w:tplc="569AA3FA">
      <w:start w:val="1"/>
      <w:numFmt w:val="bullet"/>
      <w:lvlText w:val=""/>
      <w:lvlJc w:val="left"/>
      <w:pPr>
        <w:ind w:left="720" w:hanging="360"/>
      </w:pPr>
      <w:rPr>
        <w:rFonts w:ascii="Symbol" w:hAnsi="Symbol" w:hint="default"/>
      </w:rPr>
    </w:lvl>
    <w:lvl w:ilvl="1" w:tplc="40624A1C">
      <w:start w:val="1"/>
      <w:numFmt w:val="bullet"/>
      <w:lvlText w:val="o"/>
      <w:lvlJc w:val="left"/>
      <w:pPr>
        <w:ind w:left="1440" w:hanging="360"/>
      </w:pPr>
      <w:rPr>
        <w:rFonts w:ascii="Courier New" w:hAnsi="Courier New" w:hint="default"/>
      </w:rPr>
    </w:lvl>
    <w:lvl w:ilvl="2" w:tplc="A1ACAA30">
      <w:start w:val="1"/>
      <w:numFmt w:val="bullet"/>
      <w:lvlText w:val=""/>
      <w:lvlJc w:val="left"/>
      <w:pPr>
        <w:ind w:left="2160" w:hanging="360"/>
      </w:pPr>
      <w:rPr>
        <w:rFonts w:ascii="Wingdings" w:hAnsi="Wingdings" w:hint="default"/>
      </w:rPr>
    </w:lvl>
    <w:lvl w:ilvl="3" w:tplc="7AD845D8">
      <w:start w:val="1"/>
      <w:numFmt w:val="bullet"/>
      <w:lvlText w:val=""/>
      <w:lvlJc w:val="left"/>
      <w:pPr>
        <w:ind w:left="2880" w:hanging="360"/>
      </w:pPr>
      <w:rPr>
        <w:rFonts w:ascii="Symbol" w:hAnsi="Symbol" w:hint="default"/>
      </w:rPr>
    </w:lvl>
    <w:lvl w:ilvl="4" w:tplc="F510317C">
      <w:start w:val="1"/>
      <w:numFmt w:val="bullet"/>
      <w:lvlText w:val="o"/>
      <w:lvlJc w:val="left"/>
      <w:pPr>
        <w:ind w:left="3600" w:hanging="360"/>
      </w:pPr>
      <w:rPr>
        <w:rFonts w:ascii="Courier New" w:hAnsi="Courier New" w:hint="default"/>
      </w:rPr>
    </w:lvl>
    <w:lvl w:ilvl="5" w:tplc="E6443FCC">
      <w:start w:val="1"/>
      <w:numFmt w:val="bullet"/>
      <w:lvlText w:val=""/>
      <w:lvlJc w:val="left"/>
      <w:pPr>
        <w:ind w:left="4320" w:hanging="360"/>
      </w:pPr>
      <w:rPr>
        <w:rFonts w:ascii="Wingdings" w:hAnsi="Wingdings" w:hint="default"/>
      </w:rPr>
    </w:lvl>
    <w:lvl w:ilvl="6" w:tplc="072A4CDC">
      <w:start w:val="1"/>
      <w:numFmt w:val="bullet"/>
      <w:lvlText w:val=""/>
      <w:lvlJc w:val="left"/>
      <w:pPr>
        <w:ind w:left="5040" w:hanging="360"/>
      </w:pPr>
      <w:rPr>
        <w:rFonts w:ascii="Symbol" w:hAnsi="Symbol" w:hint="default"/>
      </w:rPr>
    </w:lvl>
    <w:lvl w:ilvl="7" w:tplc="25DA6D82">
      <w:start w:val="1"/>
      <w:numFmt w:val="bullet"/>
      <w:lvlText w:val="o"/>
      <w:lvlJc w:val="left"/>
      <w:pPr>
        <w:ind w:left="5760" w:hanging="360"/>
      </w:pPr>
      <w:rPr>
        <w:rFonts w:ascii="Courier New" w:hAnsi="Courier New" w:hint="default"/>
      </w:rPr>
    </w:lvl>
    <w:lvl w:ilvl="8" w:tplc="B5DC3626">
      <w:start w:val="1"/>
      <w:numFmt w:val="bullet"/>
      <w:lvlText w:val=""/>
      <w:lvlJc w:val="left"/>
      <w:pPr>
        <w:ind w:left="6480" w:hanging="360"/>
      </w:pPr>
      <w:rPr>
        <w:rFonts w:ascii="Wingdings" w:hAnsi="Wingdings" w:hint="default"/>
      </w:rPr>
    </w:lvl>
  </w:abstractNum>
  <w:abstractNum w:abstractNumId="9" w15:restartNumberingAfterBreak="0">
    <w:nsid w:val="40BD52B0"/>
    <w:multiLevelType w:val="multilevel"/>
    <w:tmpl w:val="CC427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05941"/>
    <w:multiLevelType w:val="hybridMultilevel"/>
    <w:tmpl w:val="A392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F0402"/>
    <w:multiLevelType w:val="hybridMultilevel"/>
    <w:tmpl w:val="B6DCCB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D85DB5"/>
    <w:multiLevelType w:val="hybridMultilevel"/>
    <w:tmpl w:val="374839BC"/>
    <w:lvl w:ilvl="0" w:tplc="08090001">
      <w:start w:val="1"/>
      <w:numFmt w:val="bullet"/>
      <w:lvlText w:val=""/>
      <w:lvlJc w:val="left"/>
      <w:pPr>
        <w:ind w:left="1080" w:hanging="72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191FEF"/>
    <w:multiLevelType w:val="hybridMultilevel"/>
    <w:tmpl w:val="1E2AB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40848"/>
    <w:multiLevelType w:val="hybridMultilevel"/>
    <w:tmpl w:val="DAA487C4"/>
    <w:lvl w:ilvl="0" w:tplc="2996B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50299F"/>
    <w:multiLevelType w:val="hybridMultilevel"/>
    <w:tmpl w:val="C2A24AEE"/>
    <w:lvl w:ilvl="0" w:tplc="08090001">
      <w:start w:val="1"/>
      <w:numFmt w:val="bullet"/>
      <w:lvlText w:val=""/>
      <w:lvlJc w:val="left"/>
      <w:pPr>
        <w:ind w:left="720" w:hanging="360"/>
      </w:pPr>
      <w:rPr>
        <w:rFonts w:ascii="Symbol" w:hAnsi="Symbol" w:hint="default"/>
      </w:rPr>
    </w:lvl>
    <w:lvl w:ilvl="1" w:tplc="DB223A64">
      <w:start w:val="1"/>
      <w:numFmt w:val="bullet"/>
      <w:pStyle w:val="BulletedLis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50C76"/>
    <w:multiLevelType w:val="hybridMultilevel"/>
    <w:tmpl w:val="6206E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B2726"/>
    <w:multiLevelType w:val="multilevel"/>
    <w:tmpl w:val="DA966950"/>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A63E44"/>
    <w:multiLevelType w:val="hybridMultilevel"/>
    <w:tmpl w:val="019E8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E26ED9"/>
    <w:multiLevelType w:val="multilevel"/>
    <w:tmpl w:val="94A0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709AA"/>
    <w:multiLevelType w:val="multilevel"/>
    <w:tmpl w:val="BCCEB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070F5E"/>
    <w:multiLevelType w:val="hybridMultilevel"/>
    <w:tmpl w:val="74B2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1772">
    <w:abstractNumId w:val="1"/>
  </w:num>
  <w:num w:numId="2" w16cid:durableId="1686244665">
    <w:abstractNumId w:val="8"/>
  </w:num>
  <w:num w:numId="3" w16cid:durableId="350959761">
    <w:abstractNumId w:val="3"/>
  </w:num>
  <w:num w:numId="4" w16cid:durableId="1911504495">
    <w:abstractNumId w:val="15"/>
  </w:num>
  <w:num w:numId="5" w16cid:durableId="761023313">
    <w:abstractNumId w:val="5"/>
  </w:num>
  <w:num w:numId="6" w16cid:durableId="438188059">
    <w:abstractNumId w:val="0"/>
  </w:num>
  <w:num w:numId="7" w16cid:durableId="1681422275">
    <w:abstractNumId w:val="11"/>
  </w:num>
  <w:num w:numId="8" w16cid:durableId="1168211383">
    <w:abstractNumId w:val="5"/>
    <w:lvlOverride w:ilvl="0">
      <w:startOverride w:val="1"/>
    </w:lvlOverride>
  </w:num>
  <w:num w:numId="9" w16cid:durableId="1165392222">
    <w:abstractNumId w:val="0"/>
    <w:lvlOverride w:ilvl="0">
      <w:startOverride w:val="1"/>
    </w:lvlOverride>
  </w:num>
  <w:num w:numId="10" w16cid:durableId="2142142101">
    <w:abstractNumId w:val="21"/>
  </w:num>
  <w:num w:numId="11" w16cid:durableId="1311400910">
    <w:abstractNumId w:val="6"/>
  </w:num>
  <w:num w:numId="12" w16cid:durableId="937755750">
    <w:abstractNumId w:val="18"/>
  </w:num>
  <w:num w:numId="13" w16cid:durableId="771361731">
    <w:abstractNumId w:val="12"/>
  </w:num>
  <w:num w:numId="14" w16cid:durableId="1546331949">
    <w:abstractNumId w:val="3"/>
  </w:num>
  <w:num w:numId="15" w16cid:durableId="1669021909">
    <w:abstractNumId w:val="3"/>
  </w:num>
  <w:num w:numId="16" w16cid:durableId="1475102441">
    <w:abstractNumId w:val="3"/>
  </w:num>
  <w:num w:numId="17" w16cid:durableId="593249786">
    <w:abstractNumId w:val="19"/>
  </w:num>
  <w:num w:numId="18" w16cid:durableId="2058770999">
    <w:abstractNumId w:val="9"/>
  </w:num>
  <w:num w:numId="19" w16cid:durableId="951325394">
    <w:abstractNumId w:val="20"/>
  </w:num>
  <w:num w:numId="20" w16cid:durableId="131675847">
    <w:abstractNumId w:val="2"/>
  </w:num>
  <w:num w:numId="21" w16cid:durableId="1684016332">
    <w:abstractNumId w:val="3"/>
  </w:num>
  <w:num w:numId="22" w16cid:durableId="2072804134">
    <w:abstractNumId w:val="7"/>
  </w:num>
  <w:num w:numId="23" w16cid:durableId="567808590">
    <w:abstractNumId w:val="17"/>
  </w:num>
  <w:num w:numId="24" w16cid:durableId="634650952">
    <w:abstractNumId w:val="13"/>
  </w:num>
  <w:num w:numId="25" w16cid:durableId="960041506">
    <w:abstractNumId w:val="16"/>
  </w:num>
  <w:num w:numId="26" w16cid:durableId="249582446">
    <w:abstractNumId w:val="14"/>
  </w:num>
  <w:num w:numId="27" w16cid:durableId="1436169848">
    <w:abstractNumId w:val="4"/>
  </w:num>
  <w:num w:numId="28" w16cid:durableId="120278436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B1"/>
    <w:rsid w:val="0000001A"/>
    <w:rsid w:val="0000056E"/>
    <w:rsid w:val="0000064B"/>
    <w:rsid w:val="00000F92"/>
    <w:rsid w:val="00002668"/>
    <w:rsid w:val="00002860"/>
    <w:rsid w:val="000038B3"/>
    <w:rsid w:val="00003B21"/>
    <w:rsid w:val="00003EEE"/>
    <w:rsid w:val="00004251"/>
    <w:rsid w:val="00004735"/>
    <w:rsid w:val="00004CBB"/>
    <w:rsid w:val="00005760"/>
    <w:rsid w:val="00005C45"/>
    <w:rsid w:val="0000638C"/>
    <w:rsid w:val="00006533"/>
    <w:rsid w:val="00006828"/>
    <w:rsid w:val="000068A2"/>
    <w:rsid w:val="000075CE"/>
    <w:rsid w:val="00007AFA"/>
    <w:rsid w:val="00007D95"/>
    <w:rsid w:val="00010893"/>
    <w:rsid w:val="000109C3"/>
    <w:rsid w:val="00011C28"/>
    <w:rsid w:val="000123C1"/>
    <w:rsid w:val="000123C7"/>
    <w:rsid w:val="00012C3A"/>
    <w:rsid w:val="000131B3"/>
    <w:rsid w:val="000134FE"/>
    <w:rsid w:val="00013DB7"/>
    <w:rsid w:val="00015B4E"/>
    <w:rsid w:val="000162ED"/>
    <w:rsid w:val="000166FC"/>
    <w:rsid w:val="0001713E"/>
    <w:rsid w:val="00020684"/>
    <w:rsid w:val="0002071A"/>
    <w:rsid w:val="00020791"/>
    <w:rsid w:val="00020AA6"/>
    <w:rsid w:val="00022573"/>
    <w:rsid w:val="00022CBA"/>
    <w:rsid w:val="000234D8"/>
    <w:rsid w:val="00023846"/>
    <w:rsid w:val="00023E02"/>
    <w:rsid w:val="00023FAB"/>
    <w:rsid w:val="00024077"/>
    <w:rsid w:val="00024257"/>
    <w:rsid w:val="00024B66"/>
    <w:rsid w:val="00025708"/>
    <w:rsid w:val="0002587E"/>
    <w:rsid w:val="00025928"/>
    <w:rsid w:val="000263FB"/>
    <w:rsid w:val="00026744"/>
    <w:rsid w:val="0002686C"/>
    <w:rsid w:val="00027221"/>
    <w:rsid w:val="000275AF"/>
    <w:rsid w:val="00030B55"/>
    <w:rsid w:val="00030D05"/>
    <w:rsid w:val="00030D9D"/>
    <w:rsid w:val="00031FE2"/>
    <w:rsid w:val="00032491"/>
    <w:rsid w:val="00033002"/>
    <w:rsid w:val="00033996"/>
    <w:rsid w:val="00033C68"/>
    <w:rsid w:val="00034447"/>
    <w:rsid w:val="000346E5"/>
    <w:rsid w:val="00034A1F"/>
    <w:rsid w:val="00034BE8"/>
    <w:rsid w:val="00034E4E"/>
    <w:rsid w:val="0003518A"/>
    <w:rsid w:val="0003557A"/>
    <w:rsid w:val="00035602"/>
    <w:rsid w:val="0003560B"/>
    <w:rsid w:val="0003608B"/>
    <w:rsid w:val="00037388"/>
    <w:rsid w:val="00037765"/>
    <w:rsid w:val="000377F8"/>
    <w:rsid w:val="000378AE"/>
    <w:rsid w:val="00037C9C"/>
    <w:rsid w:val="00037CC1"/>
    <w:rsid w:val="000407F8"/>
    <w:rsid w:val="00040CDC"/>
    <w:rsid w:val="00041255"/>
    <w:rsid w:val="00041442"/>
    <w:rsid w:val="0004165D"/>
    <w:rsid w:val="00041A4F"/>
    <w:rsid w:val="00041F6C"/>
    <w:rsid w:val="00042448"/>
    <w:rsid w:val="000426FF"/>
    <w:rsid w:val="00042775"/>
    <w:rsid w:val="00042C21"/>
    <w:rsid w:val="00043839"/>
    <w:rsid w:val="00043FD2"/>
    <w:rsid w:val="00044223"/>
    <w:rsid w:val="00044268"/>
    <w:rsid w:val="0004440D"/>
    <w:rsid w:val="00046986"/>
    <w:rsid w:val="0004699D"/>
    <w:rsid w:val="00050019"/>
    <w:rsid w:val="000506FF"/>
    <w:rsid w:val="000509FF"/>
    <w:rsid w:val="00050A3C"/>
    <w:rsid w:val="00050AD1"/>
    <w:rsid w:val="00050E2E"/>
    <w:rsid w:val="00051560"/>
    <w:rsid w:val="00051B2C"/>
    <w:rsid w:val="000522D2"/>
    <w:rsid w:val="00052E12"/>
    <w:rsid w:val="00053751"/>
    <w:rsid w:val="00053CC2"/>
    <w:rsid w:val="00054005"/>
    <w:rsid w:val="00054813"/>
    <w:rsid w:val="00054E73"/>
    <w:rsid w:val="00054EFB"/>
    <w:rsid w:val="00055619"/>
    <w:rsid w:val="0005573C"/>
    <w:rsid w:val="00055C83"/>
    <w:rsid w:val="000561D7"/>
    <w:rsid w:val="0005623F"/>
    <w:rsid w:val="00056632"/>
    <w:rsid w:val="00056853"/>
    <w:rsid w:val="00056D4D"/>
    <w:rsid w:val="000570DF"/>
    <w:rsid w:val="00057500"/>
    <w:rsid w:val="00057B79"/>
    <w:rsid w:val="0006092E"/>
    <w:rsid w:val="00060E7E"/>
    <w:rsid w:val="00061AC6"/>
    <w:rsid w:val="00061AF5"/>
    <w:rsid w:val="00061E1D"/>
    <w:rsid w:val="0006278D"/>
    <w:rsid w:val="00063EBA"/>
    <w:rsid w:val="0006404F"/>
    <w:rsid w:val="0006443C"/>
    <w:rsid w:val="0006499E"/>
    <w:rsid w:val="00064C3E"/>
    <w:rsid w:val="00064CCC"/>
    <w:rsid w:val="0006559B"/>
    <w:rsid w:val="000660D7"/>
    <w:rsid w:val="0006648C"/>
    <w:rsid w:val="0006661E"/>
    <w:rsid w:val="00066730"/>
    <w:rsid w:val="00066C06"/>
    <w:rsid w:val="000672C0"/>
    <w:rsid w:val="0006732C"/>
    <w:rsid w:val="00067D81"/>
    <w:rsid w:val="00067D84"/>
    <w:rsid w:val="00070361"/>
    <w:rsid w:val="00070D6F"/>
    <w:rsid w:val="00070F12"/>
    <w:rsid w:val="0007169D"/>
    <w:rsid w:val="00071E91"/>
    <w:rsid w:val="00072925"/>
    <w:rsid w:val="00072A88"/>
    <w:rsid w:val="00072E74"/>
    <w:rsid w:val="000736C2"/>
    <w:rsid w:val="00074534"/>
    <w:rsid w:val="00074687"/>
    <w:rsid w:val="00074A79"/>
    <w:rsid w:val="000755AC"/>
    <w:rsid w:val="00075756"/>
    <w:rsid w:val="000759E2"/>
    <w:rsid w:val="00075B67"/>
    <w:rsid w:val="00075C7E"/>
    <w:rsid w:val="00075C83"/>
    <w:rsid w:val="00075CA3"/>
    <w:rsid w:val="000761BA"/>
    <w:rsid w:val="00076FDD"/>
    <w:rsid w:val="00077219"/>
    <w:rsid w:val="00077484"/>
    <w:rsid w:val="0007772B"/>
    <w:rsid w:val="00077CC6"/>
    <w:rsid w:val="000800CA"/>
    <w:rsid w:val="0008059D"/>
    <w:rsid w:val="000819D0"/>
    <w:rsid w:val="00081A60"/>
    <w:rsid w:val="00082583"/>
    <w:rsid w:val="000826CA"/>
    <w:rsid w:val="00082C46"/>
    <w:rsid w:val="00082FE6"/>
    <w:rsid w:val="00084615"/>
    <w:rsid w:val="0008474A"/>
    <w:rsid w:val="00084CD8"/>
    <w:rsid w:val="00084E0A"/>
    <w:rsid w:val="000859A7"/>
    <w:rsid w:val="00085D80"/>
    <w:rsid w:val="00086759"/>
    <w:rsid w:val="00086A4A"/>
    <w:rsid w:val="00086B3D"/>
    <w:rsid w:val="00087066"/>
    <w:rsid w:val="000870A4"/>
    <w:rsid w:val="0008730B"/>
    <w:rsid w:val="00087316"/>
    <w:rsid w:val="00087982"/>
    <w:rsid w:val="00087EA7"/>
    <w:rsid w:val="0009049E"/>
    <w:rsid w:val="00090AE3"/>
    <w:rsid w:val="00091501"/>
    <w:rsid w:val="000917FD"/>
    <w:rsid w:val="000918E3"/>
    <w:rsid w:val="00091A89"/>
    <w:rsid w:val="000931A6"/>
    <w:rsid w:val="00094307"/>
    <w:rsid w:val="00094D28"/>
    <w:rsid w:val="000959FC"/>
    <w:rsid w:val="00095AC2"/>
    <w:rsid w:val="0009660C"/>
    <w:rsid w:val="000966C1"/>
    <w:rsid w:val="000967AC"/>
    <w:rsid w:val="000977F4"/>
    <w:rsid w:val="00097BD7"/>
    <w:rsid w:val="00097F1E"/>
    <w:rsid w:val="000A0078"/>
    <w:rsid w:val="000A0C67"/>
    <w:rsid w:val="000A13F7"/>
    <w:rsid w:val="000A1A9F"/>
    <w:rsid w:val="000A1D26"/>
    <w:rsid w:val="000A1DB3"/>
    <w:rsid w:val="000A2F42"/>
    <w:rsid w:val="000A32B9"/>
    <w:rsid w:val="000A32BC"/>
    <w:rsid w:val="000A37B4"/>
    <w:rsid w:val="000A3A32"/>
    <w:rsid w:val="000A403B"/>
    <w:rsid w:val="000A40AA"/>
    <w:rsid w:val="000A4CA9"/>
    <w:rsid w:val="000A6487"/>
    <w:rsid w:val="000A71F2"/>
    <w:rsid w:val="000A7B77"/>
    <w:rsid w:val="000B0257"/>
    <w:rsid w:val="000B0ABB"/>
    <w:rsid w:val="000B0C23"/>
    <w:rsid w:val="000B0CE3"/>
    <w:rsid w:val="000B279C"/>
    <w:rsid w:val="000B2823"/>
    <w:rsid w:val="000B2A0B"/>
    <w:rsid w:val="000B3FB5"/>
    <w:rsid w:val="000B4705"/>
    <w:rsid w:val="000B4BDB"/>
    <w:rsid w:val="000B4FAE"/>
    <w:rsid w:val="000B5499"/>
    <w:rsid w:val="000B5775"/>
    <w:rsid w:val="000B5891"/>
    <w:rsid w:val="000B60D0"/>
    <w:rsid w:val="000B623A"/>
    <w:rsid w:val="000B62A7"/>
    <w:rsid w:val="000B6A1A"/>
    <w:rsid w:val="000B6F8C"/>
    <w:rsid w:val="000B7DB3"/>
    <w:rsid w:val="000C09A1"/>
    <w:rsid w:val="000C109D"/>
    <w:rsid w:val="000C1470"/>
    <w:rsid w:val="000C20D1"/>
    <w:rsid w:val="000C28CC"/>
    <w:rsid w:val="000C2C5C"/>
    <w:rsid w:val="000C3325"/>
    <w:rsid w:val="000C434E"/>
    <w:rsid w:val="000C439C"/>
    <w:rsid w:val="000C50C5"/>
    <w:rsid w:val="000C53D8"/>
    <w:rsid w:val="000C5B49"/>
    <w:rsid w:val="000C6237"/>
    <w:rsid w:val="000C65E2"/>
    <w:rsid w:val="000C68BE"/>
    <w:rsid w:val="000C68BF"/>
    <w:rsid w:val="000C6C60"/>
    <w:rsid w:val="000C7236"/>
    <w:rsid w:val="000C759D"/>
    <w:rsid w:val="000D003E"/>
    <w:rsid w:val="000D1059"/>
    <w:rsid w:val="000D1D86"/>
    <w:rsid w:val="000D1F75"/>
    <w:rsid w:val="000D2DC1"/>
    <w:rsid w:val="000D37F6"/>
    <w:rsid w:val="000D3CB5"/>
    <w:rsid w:val="000D3E42"/>
    <w:rsid w:val="000D3EF3"/>
    <w:rsid w:val="000D48F0"/>
    <w:rsid w:val="000D4D45"/>
    <w:rsid w:val="000D4DEA"/>
    <w:rsid w:val="000D5935"/>
    <w:rsid w:val="000D5B03"/>
    <w:rsid w:val="000D5E63"/>
    <w:rsid w:val="000D7163"/>
    <w:rsid w:val="000D78D2"/>
    <w:rsid w:val="000D7D57"/>
    <w:rsid w:val="000DDE40"/>
    <w:rsid w:val="000E119F"/>
    <w:rsid w:val="000E1B9E"/>
    <w:rsid w:val="000E20F5"/>
    <w:rsid w:val="000E232D"/>
    <w:rsid w:val="000E262D"/>
    <w:rsid w:val="000E30CC"/>
    <w:rsid w:val="000E3380"/>
    <w:rsid w:val="000E3BC0"/>
    <w:rsid w:val="000E418F"/>
    <w:rsid w:val="000E513D"/>
    <w:rsid w:val="000E5B7C"/>
    <w:rsid w:val="000E5D06"/>
    <w:rsid w:val="000E60D9"/>
    <w:rsid w:val="000E62E7"/>
    <w:rsid w:val="000E704B"/>
    <w:rsid w:val="000E741F"/>
    <w:rsid w:val="000E7CF5"/>
    <w:rsid w:val="000F0328"/>
    <w:rsid w:val="000F0DBE"/>
    <w:rsid w:val="000F0EB1"/>
    <w:rsid w:val="000F1456"/>
    <w:rsid w:val="000F1640"/>
    <w:rsid w:val="000F1919"/>
    <w:rsid w:val="000F1E4E"/>
    <w:rsid w:val="000F241F"/>
    <w:rsid w:val="000F3882"/>
    <w:rsid w:val="000F4330"/>
    <w:rsid w:val="000F45BB"/>
    <w:rsid w:val="000F4FC4"/>
    <w:rsid w:val="000F54DF"/>
    <w:rsid w:val="000F5B99"/>
    <w:rsid w:val="000F65E4"/>
    <w:rsid w:val="000F7718"/>
    <w:rsid w:val="000F7C55"/>
    <w:rsid w:val="000F7D0F"/>
    <w:rsid w:val="000F7E28"/>
    <w:rsid w:val="0010133D"/>
    <w:rsid w:val="0010159D"/>
    <w:rsid w:val="001017AB"/>
    <w:rsid w:val="001019C5"/>
    <w:rsid w:val="00101C4D"/>
    <w:rsid w:val="00102079"/>
    <w:rsid w:val="001039C6"/>
    <w:rsid w:val="00104A2F"/>
    <w:rsid w:val="00105D75"/>
    <w:rsid w:val="00106836"/>
    <w:rsid w:val="00106FC9"/>
    <w:rsid w:val="00110301"/>
    <w:rsid w:val="0011090C"/>
    <w:rsid w:val="00110AF8"/>
    <w:rsid w:val="00110B58"/>
    <w:rsid w:val="001110A3"/>
    <w:rsid w:val="001116BC"/>
    <w:rsid w:val="00111823"/>
    <w:rsid w:val="001119DD"/>
    <w:rsid w:val="00112626"/>
    <w:rsid w:val="0011276A"/>
    <w:rsid w:val="001128D2"/>
    <w:rsid w:val="00112D5D"/>
    <w:rsid w:val="00112E51"/>
    <w:rsid w:val="00113531"/>
    <w:rsid w:val="00113A0F"/>
    <w:rsid w:val="00114332"/>
    <w:rsid w:val="00114CB2"/>
    <w:rsid w:val="00114FBA"/>
    <w:rsid w:val="00115E93"/>
    <w:rsid w:val="0011605A"/>
    <w:rsid w:val="00116591"/>
    <w:rsid w:val="00117D82"/>
    <w:rsid w:val="0012143F"/>
    <w:rsid w:val="00122492"/>
    <w:rsid w:val="001226F5"/>
    <w:rsid w:val="00122A14"/>
    <w:rsid w:val="00122B14"/>
    <w:rsid w:val="00122D08"/>
    <w:rsid w:val="0012356A"/>
    <w:rsid w:val="00123C3A"/>
    <w:rsid w:val="00124251"/>
    <w:rsid w:val="00124322"/>
    <w:rsid w:val="00124457"/>
    <w:rsid w:val="00124E6C"/>
    <w:rsid w:val="00125697"/>
    <w:rsid w:val="0012579A"/>
    <w:rsid w:val="0012651F"/>
    <w:rsid w:val="00126527"/>
    <w:rsid w:val="0012654D"/>
    <w:rsid w:val="00126AC1"/>
    <w:rsid w:val="00126D8F"/>
    <w:rsid w:val="00127779"/>
    <w:rsid w:val="001300E0"/>
    <w:rsid w:val="0013072A"/>
    <w:rsid w:val="00130983"/>
    <w:rsid w:val="001310C0"/>
    <w:rsid w:val="0013174F"/>
    <w:rsid w:val="001319D1"/>
    <w:rsid w:val="0013222F"/>
    <w:rsid w:val="0013237F"/>
    <w:rsid w:val="0013248F"/>
    <w:rsid w:val="00132A5E"/>
    <w:rsid w:val="0013312D"/>
    <w:rsid w:val="001344A3"/>
    <w:rsid w:val="00134649"/>
    <w:rsid w:val="001358F3"/>
    <w:rsid w:val="00135ED8"/>
    <w:rsid w:val="00136B6D"/>
    <w:rsid w:val="001379C7"/>
    <w:rsid w:val="00137CA5"/>
    <w:rsid w:val="00137D41"/>
    <w:rsid w:val="0014037C"/>
    <w:rsid w:val="001404EA"/>
    <w:rsid w:val="00140834"/>
    <w:rsid w:val="001409FC"/>
    <w:rsid w:val="00140AE3"/>
    <w:rsid w:val="00140E7F"/>
    <w:rsid w:val="00140F35"/>
    <w:rsid w:val="001410FB"/>
    <w:rsid w:val="001412F3"/>
    <w:rsid w:val="0014191C"/>
    <w:rsid w:val="001422A8"/>
    <w:rsid w:val="0014276C"/>
    <w:rsid w:val="00142A13"/>
    <w:rsid w:val="00143FA6"/>
    <w:rsid w:val="00144269"/>
    <w:rsid w:val="00144771"/>
    <w:rsid w:val="00147F50"/>
    <w:rsid w:val="001500C8"/>
    <w:rsid w:val="00151363"/>
    <w:rsid w:val="001522CA"/>
    <w:rsid w:val="001522FF"/>
    <w:rsid w:val="001525A2"/>
    <w:rsid w:val="00152B54"/>
    <w:rsid w:val="00153B61"/>
    <w:rsid w:val="00153BF3"/>
    <w:rsid w:val="0015427B"/>
    <w:rsid w:val="001542A2"/>
    <w:rsid w:val="00154344"/>
    <w:rsid w:val="001547D6"/>
    <w:rsid w:val="00154C59"/>
    <w:rsid w:val="0015562F"/>
    <w:rsid w:val="00155965"/>
    <w:rsid w:val="00155A02"/>
    <w:rsid w:val="00155B21"/>
    <w:rsid w:val="00157070"/>
    <w:rsid w:val="00157520"/>
    <w:rsid w:val="001576E3"/>
    <w:rsid w:val="001602C3"/>
    <w:rsid w:val="001615DC"/>
    <w:rsid w:val="0016231C"/>
    <w:rsid w:val="00162535"/>
    <w:rsid w:val="00162C12"/>
    <w:rsid w:val="00164D1F"/>
    <w:rsid w:val="00165015"/>
    <w:rsid w:val="00165A73"/>
    <w:rsid w:val="00165BD1"/>
    <w:rsid w:val="00165C49"/>
    <w:rsid w:val="00165EEB"/>
    <w:rsid w:val="0016609E"/>
    <w:rsid w:val="001665F1"/>
    <w:rsid w:val="001673BE"/>
    <w:rsid w:val="00167B8E"/>
    <w:rsid w:val="00167F99"/>
    <w:rsid w:val="00170016"/>
    <w:rsid w:val="001703E2"/>
    <w:rsid w:val="00170D07"/>
    <w:rsid w:val="00170EF8"/>
    <w:rsid w:val="00172021"/>
    <w:rsid w:val="0017351A"/>
    <w:rsid w:val="0017353E"/>
    <w:rsid w:val="00173954"/>
    <w:rsid w:val="00173EF6"/>
    <w:rsid w:val="00174BB6"/>
    <w:rsid w:val="00175089"/>
    <w:rsid w:val="00175617"/>
    <w:rsid w:val="00175C2A"/>
    <w:rsid w:val="0017631E"/>
    <w:rsid w:val="001767D5"/>
    <w:rsid w:val="00176FF5"/>
    <w:rsid w:val="0017708E"/>
    <w:rsid w:val="001771E2"/>
    <w:rsid w:val="0017780F"/>
    <w:rsid w:val="0018022E"/>
    <w:rsid w:val="001806C1"/>
    <w:rsid w:val="00180BA2"/>
    <w:rsid w:val="00180BE5"/>
    <w:rsid w:val="00181127"/>
    <w:rsid w:val="0018137B"/>
    <w:rsid w:val="00182E0C"/>
    <w:rsid w:val="00182E72"/>
    <w:rsid w:val="00183742"/>
    <w:rsid w:val="00183960"/>
    <w:rsid w:val="00183EC6"/>
    <w:rsid w:val="001841CC"/>
    <w:rsid w:val="001843D6"/>
    <w:rsid w:val="00184599"/>
    <w:rsid w:val="00184F91"/>
    <w:rsid w:val="001852FE"/>
    <w:rsid w:val="00185425"/>
    <w:rsid w:val="00185878"/>
    <w:rsid w:val="0018589A"/>
    <w:rsid w:val="001873F4"/>
    <w:rsid w:val="001876C1"/>
    <w:rsid w:val="00187A5A"/>
    <w:rsid w:val="001901D6"/>
    <w:rsid w:val="0019039E"/>
    <w:rsid w:val="00190638"/>
    <w:rsid w:val="00190E97"/>
    <w:rsid w:val="001910CF"/>
    <w:rsid w:val="0019112B"/>
    <w:rsid w:val="00191D17"/>
    <w:rsid w:val="00191D49"/>
    <w:rsid w:val="001925A8"/>
    <w:rsid w:val="00192C76"/>
    <w:rsid w:val="00193A51"/>
    <w:rsid w:val="00193A6E"/>
    <w:rsid w:val="00194A70"/>
    <w:rsid w:val="00195257"/>
    <w:rsid w:val="001954F5"/>
    <w:rsid w:val="00195F0C"/>
    <w:rsid w:val="00196E4B"/>
    <w:rsid w:val="0019708B"/>
    <w:rsid w:val="00197245"/>
    <w:rsid w:val="00197627"/>
    <w:rsid w:val="00197805"/>
    <w:rsid w:val="001A0C21"/>
    <w:rsid w:val="001A0E22"/>
    <w:rsid w:val="001A1C78"/>
    <w:rsid w:val="001A2128"/>
    <w:rsid w:val="001A2265"/>
    <w:rsid w:val="001A2998"/>
    <w:rsid w:val="001A29C7"/>
    <w:rsid w:val="001A2C03"/>
    <w:rsid w:val="001A2DD7"/>
    <w:rsid w:val="001A2FCA"/>
    <w:rsid w:val="001A3634"/>
    <w:rsid w:val="001A3BC4"/>
    <w:rsid w:val="001A41C2"/>
    <w:rsid w:val="001A4252"/>
    <w:rsid w:val="001A43EF"/>
    <w:rsid w:val="001A488D"/>
    <w:rsid w:val="001A4C50"/>
    <w:rsid w:val="001A4DFA"/>
    <w:rsid w:val="001A5918"/>
    <w:rsid w:val="001A5A95"/>
    <w:rsid w:val="001A6135"/>
    <w:rsid w:val="001A62A0"/>
    <w:rsid w:val="001A741E"/>
    <w:rsid w:val="001A7829"/>
    <w:rsid w:val="001A7E95"/>
    <w:rsid w:val="001A7EE0"/>
    <w:rsid w:val="001B009A"/>
    <w:rsid w:val="001B0543"/>
    <w:rsid w:val="001B09FE"/>
    <w:rsid w:val="001B0D7A"/>
    <w:rsid w:val="001B0E35"/>
    <w:rsid w:val="001B10DF"/>
    <w:rsid w:val="001B121E"/>
    <w:rsid w:val="001B15D1"/>
    <w:rsid w:val="001B1F77"/>
    <w:rsid w:val="001B23BC"/>
    <w:rsid w:val="001B3272"/>
    <w:rsid w:val="001B4214"/>
    <w:rsid w:val="001B45C7"/>
    <w:rsid w:val="001B4E69"/>
    <w:rsid w:val="001B4F0A"/>
    <w:rsid w:val="001B69E1"/>
    <w:rsid w:val="001B6A38"/>
    <w:rsid w:val="001C00EC"/>
    <w:rsid w:val="001C09FE"/>
    <w:rsid w:val="001C0FF5"/>
    <w:rsid w:val="001C1788"/>
    <w:rsid w:val="001C1CFE"/>
    <w:rsid w:val="001C1E85"/>
    <w:rsid w:val="001C2240"/>
    <w:rsid w:val="001C280F"/>
    <w:rsid w:val="001C2B3E"/>
    <w:rsid w:val="001C3762"/>
    <w:rsid w:val="001C390C"/>
    <w:rsid w:val="001C40C0"/>
    <w:rsid w:val="001C4941"/>
    <w:rsid w:val="001C4CB4"/>
    <w:rsid w:val="001C4D3B"/>
    <w:rsid w:val="001C5320"/>
    <w:rsid w:val="001C60C8"/>
    <w:rsid w:val="001C6B52"/>
    <w:rsid w:val="001C6D80"/>
    <w:rsid w:val="001C73A8"/>
    <w:rsid w:val="001C7F38"/>
    <w:rsid w:val="001D0185"/>
    <w:rsid w:val="001D06DC"/>
    <w:rsid w:val="001D19BD"/>
    <w:rsid w:val="001D2D01"/>
    <w:rsid w:val="001D3D88"/>
    <w:rsid w:val="001D45E0"/>
    <w:rsid w:val="001D4980"/>
    <w:rsid w:val="001D507A"/>
    <w:rsid w:val="001D54B5"/>
    <w:rsid w:val="001D54F6"/>
    <w:rsid w:val="001D5B28"/>
    <w:rsid w:val="001D5D69"/>
    <w:rsid w:val="001D682E"/>
    <w:rsid w:val="001D6965"/>
    <w:rsid w:val="001D6D31"/>
    <w:rsid w:val="001D7A39"/>
    <w:rsid w:val="001D7AA0"/>
    <w:rsid w:val="001D7EBC"/>
    <w:rsid w:val="001E0307"/>
    <w:rsid w:val="001E18E3"/>
    <w:rsid w:val="001E2B71"/>
    <w:rsid w:val="001E46F3"/>
    <w:rsid w:val="001E4BD1"/>
    <w:rsid w:val="001E4D06"/>
    <w:rsid w:val="001E5057"/>
    <w:rsid w:val="001E5173"/>
    <w:rsid w:val="001E5AD9"/>
    <w:rsid w:val="001E6A2B"/>
    <w:rsid w:val="001E6A39"/>
    <w:rsid w:val="001F004E"/>
    <w:rsid w:val="001F034C"/>
    <w:rsid w:val="001F0437"/>
    <w:rsid w:val="001F0C5F"/>
    <w:rsid w:val="001F11D2"/>
    <w:rsid w:val="001F1261"/>
    <w:rsid w:val="001F1619"/>
    <w:rsid w:val="001F1B22"/>
    <w:rsid w:val="001F1C3C"/>
    <w:rsid w:val="001F21A4"/>
    <w:rsid w:val="001F24D5"/>
    <w:rsid w:val="001F2AD0"/>
    <w:rsid w:val="001F3940"/>
    <w:rsid w:val="001F4246"/>
    <w:rsid w:val="001F471A"/>
    <w:rsid w:val="001F4F98"/>
    <w:rsid w:val="001F5767"/>
    <w:rsid w:val="001F57F6"/>
    <w:rsid w:val="001F5F7E"/>
    <w:rsid w:val="001F6286"/>
    <w:rsid w:val="001F6394"/>
    <w:rsid w:val="001F64D1"/>
    <w:rsid w:val="001F6748"/>
    <w:rsid w:val="001F6826"/>
    <w:rsid w:val="001F6D26"/>
    <w:rsid w:val="001F74E0"/>
    <w:rsid w:val="001F7948"/>
    <w:rsid w:val="0020038E"/>
    <w:rsid w:val="00201304"/>
    <w:rsid w:val="00201700"/>
    <w:rsid w:val="00201E54"/>
    <w:rsid w:val="002020A8"/>
    <w:rsid w:val="00202618"/>
    <w:rsid w:val="00202628"/>
    <w:rsid w:val="002026E0"/>
    <w:rsid w:val="00202AB9"/>
    <w:rsid w:val="00202D2B"/>
    <w:rsid w:val="002042D3"/>
    <w:rsid w:val="0020465D"/>
    <w:rsid w:val="002048FB"/>
    <w:rsid w:val="00204B6E"/>
    <w:rsid w:val="002051FE"/>
    <w:rsid w:val="00205215"/>
    <w:rsid w:val="002052C6"/>
    <w:rsid w:val="00206842"/>
    <w:rsid w:val="002068B6"/>
    <w:rsid w:val="002069B6"/>
    <w:rsid w:val="002073C2"/>
    <w:rsid w:val="0020765C"/>
    <w:rsid w:val="0021028F"/>
    <w:rsid w:val="00211E9E"/>
    <w:rsid w:val="00212008"/>
    <w:rsid w:val="002120FB"/>
    <w:rsid w:val="002125EC"/>
    <w:rsid w:val="00212F9E"/>
    <w:rsid w:val="00213A95"/>
    <w:rsid w:val="002140E8"/>
    <w:rsid w:val="00215158"/>
    <w:rsid w:val="00215817"/>
    <w:rsid w:val="0021592F"/>
    <w:rsid w:val="00215B7C"/>
    <w:rsid w:val="00216203"/>
    <w:rsid w:val="00216277"/>
    <w:rsid w:val="00216395"/>
    <w:rsid w:val="00217EE5"/>
    <w:rsid w:val="00220164"/>
    <w:rsid w:val="00220670"/>
    <w:rsid w:val="0022074D"/>
    <w:rsid w:val="00220A39"/>
    <w:rsid w:val="00220D5E"/>
    <w:rsid w:val="002213CB"/>
    <w:rsid w:val="00221454"/>
    <w:rsid w:val="00221FCF"/>
    <w:rsid w:val="00222567"/>
    <w:rsid w:val="002233E0"/>
    <w:rsid w:val="00223955"/>
    <w:rsid w:val="00223AE4"/>
    <w:rsid w:val="002249D8"/>
    <w:rsid w:val="0022515E"/>
    <w:rsid w:val="002251A2"/>
    <w:rsid w:val="0022551D"/>
    <w:rsid w:val="00227476"/>
    <w:rsid w:val="00227C1A"/>
    <w:rsid w:val="00230761"/>
    <w:rsid w:val="0023092A"/>
    <w:rsid w:val="00231D3E"/>
    <w:rsid w:val="00232304"/>
    <w:rsid w:val="00232C42"/>
    <w:rsid w:val="0023365A"/>
    <w:rsid w:val="00233775"/>
    <w:rsid w:val="0023378E"/>
    <w:rsid w:val="0023395D"/>
    <w:rsid w:val="00233F8F"/>
    <w:rsid w:val="00234866"/>
    <w:rsid w:val="00234C13"/>
    <w:rsid w:val="00235097"/>
    <w:rsid w:val="002351DB"/>
    <w:rsid w:val="00235613"/>
    <w:rsid w:val="0023562A"/>
    <w:rsid w:val="00235712"/>
    <w:rsid w:val="00235D71"/>
    <w:rsid w:val="00235DD1"/>
    <w:rsid w:val="0023654E"/>
    <w:rsid w:val="00236D20"/>
    <w:rsid w:val="0023709F"/>
    <w:rsid w:val="00237169"/>
    <w:rsid w:val="002375F9"/>
    <w:rsid w:val="00237A31"/>
    <w:rsid w:val="00237DD7"/>
    <w:rsid w:val="00237FF0"/>
    <w:rsid w:val="002413BB"/>
    <w:rsid w:val="00241D8B"/>
    <w:rsid w:val="002421C3"/>
    <w:rsid w:val="00242A70"/>
    <w:rsid w:val="00242EA4"/>
    <w:rsid w:val="002445DD"/>
    <w:rsid w:val="00244651"/>
    <w:rsid w:val="00245995"/>
    <w:rsid w:val="00245EBA"/>
    <w:rsid w:val="00246008"/>
    <w:rsid w:val="00246ACD"/>
    <w:rsid w:val="00247125"/>
    <w:rsid w:val="0024CC35"/>
    <w:rsid w:val="00250318"/>
    <w:rsid w:val="002505EF"/>
    <w:rsid w:val="002506EE"/>
    <w:rsid w:val="002506FA"/>
    <w:rsid w:val="002514A9"/>
    <w:rsid w:val="00251CD1"/>
    <w:rsid w:val="002527CE"/>
    <w:rsid w:val="00252AD8"/>
    <w:rsid w:val="002530AF"/>
    <w:rsid w:val="00253528"/>
    <w:rsid w:val="002538DF"/>
    <w:rsid w:val="00254335"/>
    <w:rsid w:val="0025461C"/>
    <w:rsid w:val="00254B63"/>
    <w:rsid w:val="002558AA"/>
    <w:rsid w:val="00260744"/>
    <w:rsid w:val="0026093D"/>
    <w:rsid w:val="0026188D"/>
    <w:rsid w:val="0026251F"/>
    <w:rsid w:val="00262806"/>
    <w:rsid w:val="00262D4C"/>
    <w:rsid w:val="00262E19"/>
    <w:rsid w:val="00262EBE"/>
    <w:rsid w:val="002631F7"/>
    <w:rsid w:val="0026352D"/>
    <w:rsid w:val="00264216"/>
    <w:rsid w:val="00264865"/>
    <w:rsid w:val="002648B6"/>
    <w:rsid w:val="0026527F"/>
    <w:rsid w:val="00265D37"/>
    <w:rsid w:val="00265FBE"/>
    <w:rsid w:val="00267902"/>
    <w:rsid w:val="00267D97"/>
    <w:rsid w:val="002705D2"/>
    <w:rsid w:val="00270CDA"/>
    <w:rsid w:val="0027101E"/>
    <w:rsid w:val="002710B3"/>
    <w:rsid w:val="002714FA"/>
    <w:rsid w:val="0027224D"/>
    <w:rsid w:val="0027245C"/>
    <w:rsid w:val="00272AEC"/>
    <w:rsid w:val="00272F30"/>
    <w:rsid w:val="00273572"/>
    <w:rsid w:val="0027376C"/>
    <w:rsid w:val="00273EC3"/>
    <w:rsid w:val="002743B0"/>
    <w:rsid w:val="002748F7"/>
    <w:rsid w:val="00274B65"/>
    <w:rsid w:val="00275BB5"/>
    <w:rsid w:val="00275D0B"/>
    <w:rsid w:val="00275EBC"/>
    <w:rsid w:val="00277904"/>
    <w:rsid w:val="00277EC7"/>
    <w:rsid w:val="00277F41"/>
    <w:rsid w:val="00280F10"/>
    <w:rsid w:val="00281BF9"/>
    <w:rsid w:val="00283457"/>
    <w:rsid w:val="00283B15"/>
    <w:rsid w:val="002848B4"/>
    <w:rsid w:val="00284E24"/>
    <w:rsid w:val="002861C9"/>
    <w:rsid w:val="00286237"/>
    <w:rsid w:val="002873E5"/>
    <w:rsid w:val="002875D6"/>
    <w:rsid w:val="00287713"/>
    <w:rsid w:val="00287C5C"/>
    <w:rsid w:val="0029087B"/>
    <w:rsid w:val="002915BF"/>
    <w:rsid w:val="0029183B"/>
    <w:rsid w:val="00292111"/>
    <w:rsid w:val="00292634"/>
    <w:rsid w:val="00292A2E"/>
    <w:rsid w:val="00292BA6"/>
    <w:rsid w:val="00292C19"/>
    <w:rsid w:val="00292E2E"/>
    <w:rsid w:val="00293013"/>
    <w:rsid w:val="00293E7C"/>
    <w:rsid w:val="0029433B"/>
    <w:rsid w:val="002947BE"/>
    <w:rsid w:val="00294A39"/>
    <w:rsid w:val="00294C17"/>
    <w:rsid w:val="00294DD1"/>
    <w:rsid w:val="00295756"/>
    <w:rsid w:val="002959F6"/>
    <w:rsid w:val="00296269"/>
    <w:rsid w:val="00296510"/>
    <w:rsid w:val="002966BA"/>
    <w:rsid w:val="002968A4"/>
    <w:rsid w:val="00297504"/>
    <w:rsid w:val="00297A64"/>
    <w:rsid w:val="002A05B2"/>
    <w:rsid w:val="002A05EF"/>
    <w:rsid w:val="002A0AF1"/>
    <w:rsid w:val="002A1985"/>
    <w:rsid w:val="002A2DFA"/>
    <w:rsid w:val="002A3133"/>
    <w:rsid w:val="002A3630"/>
    <w:rsid w:val="002A3DE1"/>
    <w:rsid w:val="002A3E76"/>
    <w:rsid w:val="002A4184"/>
    <w:rsid w:val="002A42A7"/>
    <w:rsid w:val="002A50E2"/>
    <w:rsid w:val="002A5301"/>
    <w:rsid w:val="002A54E8"/>
    <w:rsid w:val="002A5769"/>
    <w:rsid w:val="002A58DB"/>
    <w:rsid w:val="002A58F9"/>
    <w:rsid w:val="002A640B"/>
    <w:rsid w:val="002A72FB"/>
    <w:rsid w:val="002A7416"/>
    <w:rsid w:val="002A747E"/>
    <w:rsid w:val="002A783D"/>
    <w:rsid w:val="002A7C69"/>
    <w:rsid w:val="002A7CD9"/>
    <w:rsid w:val="002B025B"/>
    <w:rsid w:val="002B0709"/>
    <w:rsid w:val="002B0914"/>
    <w:rsid w:val="002B0BC7"/>
    <w:rsid w:val="002B0D56"/>
    <w:rsid w:val="002B0E91"/>
    <w:rsid w:val="002B2271"/>
    <w:rsid w:val="002B2367"/>
    <w:rsid w:val="002B2482"/>
    <w:rsid w:val="002B281D"/>
    <w:rsid w:val="002B36A3"/>
    <w:rsid w:val="002B386E"/>
    <w:rsid w:val="002B4098"/>
    <w:rsid w:val="002B4790"/>
    <w:rsid w:val="002B498D"/>
    <w:rsid w:val="002B524F"/>
    <w:rsid w:val="002B5769"/>
    <w:rsid w:val="002B59C8"/>
    <w:rsid w:val="002B62B1"/>
    <w:rsid w:val="002B62C3"/>
    <w:rsid w:val="002B66B9"/>
    <w:rsid w:val="002B6964"/>
    <w:rsid w:val="002B6C75"/>
    <w:rsid w:val="002B6F8F"/>
    <w:rsid w:val="002B7020"/>
    <w:rsid w:val="002B766D"/>
    <w:rsid w:val="002C01F9"/>
    <w:rsid w:val="002C044B"/>
    <w:rsid w:val="002C0CBB"/>
    <w:rsid w:val="002C0F50"/>
    <w:rsid w:val="002C17BE"/>
    <w:rsid w:val="002C276E"/>
    <w:rsid w:val="002C449E"/>
    <w:rsid w:val="002C490E"/>
    <w:rsid w:val="002C4BFC"/>
    <w:rsid w:val="002C4E6C"/>
    <w:rsid w:val="002C6242"/>
    <w:rsid w:val="002C6B55"/>
    <w:rsid w:val="002C71EE"/>
    <w:rsid w:val="002C7614"/>
    <w:rsid w:val="002C7886"/>
    <w:rsid w:val="002C79AD"/>
    <w:rsid w:val="002D050C"/>
    <w:rsid w:val="002D0A1F"/>
    <w:rsid w:val="002D0EE0"/>
    <w:rsid w:val="002D1049"/>
    <w:rsid w:val="002D1186"/>
    <w:rsid w:val="002D14FC"/>
    <w:rsid w:val="002D1585"/>
    <w:rsid w:val="002D2131"/>
    <w:rsid w:val="002D2568"/>
    <w:rsid w:val="002D418A"/>
    <w:rsid w:val="002D4231"/>
    <w:rsid w:val="002D42C9"/>
    <w:rsid w:val="002D43FD"/>
    <w:rsid w:val="002D4A04"/>
    <w:rsid w:val="002D4F20"/>
    <w:rsid w:val="002D5002"/>
    <w:rsid w:val="002D53BC"/>
    <w:rsid w:val="002D5F56"/>
    <w:rsid w:val="002D653D"/>
    <w:rsid w:val="002D653F"/>
    <w:rsid w:val="002E092A"/>
    <w:rsid w:val="002E1599"/>
    <w:rsid w:val="002E286C"/>
    <w:rsid w:val="002E2BBD"/>
    <w:rsid w:val="002E2C31"/>
    <w:rsid w:val="002E33ED"/>
    <w:rsid w:val="002E384B"/>
    <w:rsid w:val="002E3AF8"/>
    <w:rsid w:val="002E3B33"/>
    <w:rsid w:val="002E41EE"/>
    <w:rsid w:val="002E50E8"/>
    <w:rsid w:val="002E5336"/>
    <w:rsid w:val="002E597A"/>
    <w:rsid w:val="002E617D"/>
    <w:rsid w:val="002E632A"/>
    <w:rsid w:val="002E6D87"/>
    <w:rsid w:val="002E6FD8"/>
    <w:rsid w:val="002E76DD"/>
    <w:rsid w:val="002F0D31"/>
    <w:rsid w:val="002F0F12"/>
    <w:rsid w:val="002F2AEC"/>
    <w:rsid w:val="002F2D7E"/>
    <w:rsid w:val="002F2F33"/>
    <w:rsid w:val="002F31C1"/>
    <w:rsid w:val="002F34BA"/>
    <w:rsid w:val="002F5004"/>
    <w:rsid w:val="002F505C"/>
    <w:rsid w:val="002F5346"/>
    <w:rsid w:val="002F5807"/>
    <w:rsid w:val="002F5EB7"/>
    <w:rsid w:val="002F5FB6"/>
    <w:rsid w:val="002F7F9D"/>
    <w:rsid w:val="00300530"/>
    <w:rsid w:val="00300552"/>
    <w:rsid w:val="003006A7"/>
    <w:rsid w:val="00300D93"/>
    <w:rsid w:val="00300E6A"/>
    <w:rsid w:val="003011C0"/>
    <w:rsid w:val="003018F6"/>
    <w:rsid w:val="00301B55"/>
    <w:rsid w:val="00302BAF"/>
    <w:rsid w:val="0030361A"/>
    <w:rsid w:val="00303FF8"/>
    <w:rsid w:val="00304241"/>
    <w:rsid w:val="00304499"/>
    <w:rsid w:val="003044D2"/>
    <w:rsid w:val="003048FD"/>
    <w:rsid w:val="00304BD0"/>
    <w:rsid w:val="00304CE2"/>
    <w:rsid w:val="00304F60"/>
    <w:rsid w:val="00304FAA"/>
    <w:rsid w:val="00305D48"/>
    <w:rsid w:val="003063CE"/>
    <w:rsid w:val="00306515"/>
    <w:rsid w:val="00306616"/>
    <w:rsid w:val="00307411"/>
    <w:rsid w:val="00310756"/>
    <w:rsid w:val="00310F76"/>
    <w:rsid w:val="0031150B"/>
    <w:rsid w:val="003115CA"/>
    <w:rsid w:val="00311872"/>
    <w:rsid w:val="00311B3B"/>
    <w:rsid w:val="0031227E"/>
    <w:rsid w:val="003122C8"/>
    <w:rsid w:val="00312D37"/>
    <w:rsid w:val="00312D66"/>
    <w:rsid w:val="00313258"/>
    <w:rsid w:val="0031328F"/>
    <w:rsid w:val="00313558"/>
    <w:rsid w:val="00313C2F"/>
    <w:rsid w:val="003143A0"/>
    <w:rsid w:val="003145E3"/>
    <w:rsid w:val="00314AC0"/>
    <w:rsid w:val="00314BCF"/>
    <w:rsid w:val="00315398"/>
    <w:rsid w:val="00315C8E"/>
    <w:rsid w:val="00316313"/>
    <w:rsid w:val="00316425"/>
    <w:rsid w:val="003165D3"/>
    <w:rsid w:val="003166B2"/>
    <w:rsid w:val="00316F4A"/>
    <w:rsid w:val="00317305"/>
    <w:rsid w:val="003177B6"/>
    <w:rsid w:val="003200FB"/>
    <w:rsid w:val="00320495"/>
    <w:rsid w:val="0032049A"/>
    <w:rsid w:val="00320B93"/>
    <w:rsid w:val="00321892"/>
    <w:rsid w:val="00321B0A"/>
    <w:rsid w:val="00322AE2"/>
    <w:rsid w:val="00322B47"/>
    <w:rsid w:val="0032400C"/>
    <w:rsid w:val="0032417C"/>
    <w:rsid w:val="003245DB"/>
    <w:rsid w:val="00324BA0"/>
    <w:rsid w:val="00324D99"/>
    <w:rsid w:val="003258E9"/>
    <w:rsid w:val="0032609B"/>
    <w:rsid w:val="00326B86"/>
    <w:rsid w:val="003271DF"/>
    <w:rsid w:val="003273D3"/>
    <w:rsid w:val="00327A36"/>
    <w:rsid w:val="00327B34"/>
    <w:rsid w:val="0033020F"/>
    <w:rsid w:val="0033052D"/>
    <w:rsid w:val="00331054"/>
    <w:rsid w:val="00331BA8"/>
    <w:rsid w:val="0033203B"/>
    <w:rsid w:val="003323C3"/>
    <w:rsid w:val="00332EB4"/>
    <w:rsid w:val="0033310B"/>
    <w:rsid w:val="003332DF"/>
    <w:rsid w:val="00333D07"/>
    <w:rsid w:val="003346DD"/>
    <w:rsid w:val="0033484C"/>
    <w:rsid w:val="00335346"/>
    <w:rsid w:val="00336251"/>
    <w:rsid w:val="003363EA"/>
    <w:rsid w:val="0033748D"/>
    <w:rsid w:val="003374F3"/>
    <w:rsid w:val="003375CC"/>
    <w:rsid w:val="003377BE"/>
    <w:rsid w:val="00337904"/>
    <w:rsid w:val="00337B54"/>
    <w:rsid w:val="00337B89"/>
    <w:rsid w:val="00337C18"/>
    <w:rsid w:val="003404F4"/>
    <w:rsid w:val="00340690"/>
    <w:rsid w:val="003414C0"/>
    <w:rsid w:val="003421B7"/>
    <w:rsid w:val="00342391"/>
    <w:rsid w:val="003423F9"/>
    <w:rsid w:val="00343006"/>
    <w:rsid w:val="003434CA"/>
    <w:rsid w:val="00344CA2"/>
    <w:rsid w:val="00344E12"/>
    <w:rsid w:val="00345763"/>
    <w:rsid w:val="003457BE"/>
    <w:rsid w:val="00345CB5"/>
    <w:rsid w:val="003464DF"/>
    <w:rsid w:val="003465A1"/>
    <w:rsid w:val="0034682F"/>
    <w:rsid w:val="003469D6"/>
    <w:rsid w:val="00346BCD"/>
    <w:rsid w:val="00347133"/>
    <w:rsid w:val="003471DB"/>
    <w:rsid w:val="003473C8"/>
    <w:rsid w:val="00347E1D"/>
    <w:rsid w:val="003502A1"/>
    <w:rsid w:val="003504E0"/>
    <w:rsid w:val="0035082A"/>
    <w:rsid w:val="00350D4D"/>
    <w:rsid w:val="0035186F"/>
    <w:rsid w:val="00351AF8"/>
    <w:rsid w:val="00352E3B"/>
    <w:rsid w:val="0035369E"/>
    <w:rsid w:val="00353B55"/>
    <w:rsid w:val="003543CA"/>
    <w:rsid w:val="0035566C"/>
    <w:rsid w:val="00355D3D"/>
    <w:rsid w:val="00356255"/>
    <w:rsid w:val="0035637C"/>
    <w:rsid w:val="003568F4"/>
    <w:rsid w:val="003569E6"/>
    <w:rsid w:val="00356F63"/>
    <w:rsid w:val="00357BCF"/>
    <w:rsid w:val="00357F60"/>
    <w:rsid w:val="0036045F"/>
    <w:rsid w:val="00360A32"/>
    <w:rsid w:val="00360D7F"/>
    <w:rsid w:val="003613AD"/>
    <w:rsid w:val="003617C0"/>
    <w:rsid w:val="00361FF5"/>
    <w:rsid w:val="0036203E"/>
    <w:rsid w:val="0036219B"/>
    <w:rsid w:val="00362ABC"/>
    <w:rsid w:val="00363795"/>
    <w:rsid w:val="0036393D"/>
    <w:rsid w:val="00363CF3"/>
    <w:rsid w:val="00364DFC"/>
    <w:rsid w:val="003661B6"/>
    <w:rsid w:val="00366CA5"/>
    <w:rsid w:val="003670B5"/>
    <w:rsid w:val="00367596"/>
    <w:rsid w:val="003679DF"/>
    <w:rsid w:val="00367E00"/>
    <w:rsid w:val="00367EE7"/>
    <w:rsid w:val="00370BA0"/>
    <w:rsid w:val="00370C0F"/>
    <w:rsid w:val="00370D00"/>
    <w:rsid w:val="00372AFF"/>
    <w:rsid w:val="0037349C"/>
    <w:rsid w:val="003734B7"/>
    <w:rsid w:val="003735B3"/>
    <w:rsid w:val="00373FEA"/>
    <w:rsid w:val="00374808"/>
    <w:rsid w:val="0037532B"/>
    <w:rsid w:val="00375CF3"/>
    <w:rsid w:val="00376B0B"/>
    <w:rsid w:val="00376C8E"/>
    <w:rsid w:val="003773AF"/>
    <w:rsid w:val="0037783D"/>
    <w:rsid w:val="003802D0"/>
    <w:rsid w:val="003807B3"/>
    <w:rsid w:val="00381066"/>
    <w:rsid w:val="0038135C"/>
    <w:rsid w:val="003816FE"/>
    <w:rsid w:val="00381C02"/>
    <w:rsid w:val="003828D3"/>
    <w:rsid w:val="003828FF"/>
    <w:rsid w:val="00382A64"/>
    <w:rsid w:val="00382AA2"/>
    <w:rsid w:val="00383BA9"/>
    <w:rsid w:val="00383C5B"/>
    <w:rsid w:val="00383EB8"/>
    <w:rsid w:val="0038434A"/>
    <w:rsid w:val="00384AA6"/>
    <w:rsid w:val="00384ADE"/>
    <w:rsid w:val="00385531"/>
    <w:rsid w:val="003857B1"/>
    <w:rsid w:val="00386F35"/>
    <w:rsid w:val="0038753A"/>
    <w:rsid w:val="003879B0"/>
    <w:rsid w:val="003901D6"/>
    <w:rsid w:val="00390976"/>
    <w:rsid w:val="00390AB5"/>
    <w:rsid w:val="003917BE"/>
    <w:rsid w:val="0039225B"/>
    <w:rsid w:val="00393116"/>
    <w:rsid w:val="003932A2"/>
    <w:rsid w:val="00393C0C"/>
    <w:rsid w:val="00393E49"/>
    <w:rsid w:val="0039409E"/>
    <w:rsid w:val="00394D07"/>
    <w:rsid w:val="00396955"/>
    <w:rsid w:val="003972A4"/>
    <w:rsid w:val="003976C2"/>
    <w:rsid w:val="00397E51"/>
    <w:rsid w:val="003A0167"/>
    <w:rsid w:val="003A0244"/>
    <w:rsid w:val="003A10AB"/>
    <w:rsid w:val="003A157A"/>
    <w:rsid w:val="003A22EA"/>
    <w:rsid w:val="003A2434"/>
    <w:rsid w:val="003A24F1"/>
    <w:rsid w:val="003A266B"/>
    <w:rsid w:val="003A2BF2"/>
    <w:rsid w:val="003A3371"/>
    <w:rsid w:val="003A3612"/>
    <w:rsid w:val="003A419A"/>
    <w:rsid w:val="003A45B2"/>
    <w:rsid w:val="003A4C66"/>
    <w:rsid w:val="003A50CF"/>
    <w:rsid w:val="003A6D8B"/>
    <w:rsid w:val="003A76B3"/>
    <w:rsid w:val="003B0027"/>
    <w:rsid w:val="003B0D66"/>
    <w:rsid w:val="003B0F62"/>
    <w:rsid w:val="003B1C65"/>
    <w:rsid w:val="003B1D97"/>
    <w:rsid w:val="003B2CC7"/>
    <w:rsid w:val="003B30FB"/>
    <w:rsid w:val="003B31FB"/>
    <w:rsid w:val="003B3792"/>
    <w:rsid w:val="003B3E27"/>
    <w:rsid w:val="003B5378"/>
    <w:rsid w:val="003B64CE"/>
    <w:rsid w:val="003B7099"/>
    <w:rsid w:val="003B7522"/>
    <w:rsid w:val="003B7532"/>
    <w:rsid w:val="003B79AE"/>
    <w:rsid w:val="003C02B6"/>
    <w:rsid w:val="003C05F5"/>
    <w:rsid w:val="003C0D18"/>
    <w:rsid w:val="003C1085"/>
    <w:rsid w:val="003C1209"/>
    <w:rsid w:val="003C15A7"/>
    <w:rsid w:val="003C1DB4"/>
    <w:rsid w:val="003C276B"/>
    <w:rsid w:val="003C2E08"/>
    <w:rsid w:val="003C37E6"/>
    <w:rsid w:val="003C43F6"/>
    <w:rsid w:val="003C46AF"/>
    <w:rsid w:val="003C4A56"/>
    <w:rsid w:val="003C4BAE"/>
    <w:rsid w:val="003C4D69"/>
    <w:rsid w:val="003C4E6F"/>
    <w:rsid w:val="003C522A"/>
    <w:rsid w:val="003C56CD"/>
    <w:rsid w:val="003C575F"/>
    <w:rsid w:val="003C6859"/>
    <w:rsid w:val="003C72E8"/>
    <w:rsid w:val="003C7B9A"/>
    <w:rsid w:val="003C7E3C"/>
    <w:rsid w:val="003D055C"/>
    <w:rsid w:val="003D0637"/>
    <w:rsid w:val="003D2472"/>
    <w:rsid w:val="003D2E89"/>
    <w:rsid w:val="003D2EE2"/>
    <w:rsid w:val="003D2F84"/>
    <w:rsid w:val="003D37BC"/>
    <w:rsid w:val="003D37D1"/>
    <w:rsid w:val="003D3A46"/>
    <w:rsid w:val="003D3D67"/>
    <w:rsid w:val="003D3E46"/>
    <w:rsid w:val="003D3EA3"/>
    <w:rsid w:val="003D4040"/>
    <w:rsid w:val="003D4047"/>
    <w:rsid w:val="003D4052"/>
    <w:rsid w:val="003D4516"/>
    <w:rsid w:val="003D4904"/>
    <w:rsid w:val="003D5D32"/>
    <w:rsid w:val="003D5E9B"/>
    <w:rsid w:val="003D5F07"/>
    <w:rsid w:val="003D688D"/>
    <w:rsid w:val="003D68C1"/>
    <w:rsid w:val="003D6BB0"/>
    <w:rsid w:val="003D721B"/>
    <w:rsid w:val="003D7CEC"/>
    <w:rsid w:val="003E0076"/>
    <w:rsid w:val="003E0FBD"/>
    <w:rsid w:val="003E1F4F"/>
    <w:rsid w:val="003E2DDC"/>
    <w:rsid w:val="003E3F93"/>
    <w:rsid w:val="003E4C31"/>
    <w:rsid w:val="003E4FE7"/>
    <w:rsid w:val="003E5CEC"/>
    <w:rsid w:val="003E76CD"/>
    <w:rsid w:val="003E7E9F"/>
    <w:rsid w:val="003F009C"/>
    <w:rsid w:val="003F0AA3"/>
    <w:rsid w:val="003F1054"/>
    <w:rsid w:val="003F1548"/>
    <w:rsid w:val="003F17FC"/>
    <w:rsid w:val="003F20A7"/>
    <w:rsid w:val="003F22FD"/>
    <w:rsid w:val="003F2EB7"/>
    <w:rsid w:val="003F31C1"/>
    <w:rsid w:val="003F34A6"/>
    <w:rsid w:val="003F368A"/>
    <w:rsid w:val="003F371F"/>
    <w:rsid w:val="003F407C"/>
    <w:rsid w:val="003F40DC"/>
    <w:rsid w:val="003F4326"/>
    <w:rsid w:val="003F44F1"/>
    <w:rsid w:val="003F4FA9"/>
    <w:rsid w:val="003F5C8D"/>
    <w:rsid w:val="003F5F35"/>
    <w:rsid w:val="003F6BD2"/>
    <w:rsid w:val="003F7400"/>
    <w:rsid w:val="00400AC1"/>
    <w:rsid w:val="00400BE7"/>
    <w:rsid w:val="004013BC"/>
    <w:rsid w:val="0040153B"/>
    <w:rsid w:val="00401F2C"/>
    <w:rsid w:val="0040273C"/>
    <w:rsid w:val="00403C6D"/>
    <w:rsid w:val="00404639"/>
    <w:rsid w:val="00404D26"/>
    <w:rsid w:val="00404D89"/>
    <w:rsid w:val="00404F99"/>
    <w:rsid w:val="004050D1"/>
    <w:rsid w:val="00406674"/>
    <w:rsid w:val="00407AFD"/>
    <w:rsid w:val="00407BD2"/>
    <w:rsid w:val="00407EB4"/>
    <w:rsid w:val="004103A0"/>
    <w:rsid w:val="00410652"/>
    <w:rsid w:val="004115DE"/>
    <w:rsid w:val="00411C3C"/>
    <w:rsid w:val="00411ED3"/>
    <w:rsid w:val="00411FFE"/>
    <w:rsid w:val="004125A8"/>
    <w:rsid w:val="00414278"/>
    <w:rsid w:val="004143AE"/>
    <w:rsid w:val="004146C3"/>
    <w:rsid w:val="00414DB9"/>
    <w:rsid w:val="00416E41"/>
    <w:rsid w:val="0041738D"/>
    <w:rsid w:val="00417992"/>
    <w:rsid w:val="00417EC0"/>
    <w:rsid w:val="00420B73"/>
    <w:rsid w:val="00420FD7"/>
    <w:rsid w:val="00421126"/>
    <w:rsid w:val="0042120D"/>
    <w:rsid w:val="00421615"/>
    <w:rsid w:val="00421743"/>
    <w:rsid w:val="00421EA5"/>
    <w:rsid w:val="00422579"/>
    <w:rsid w:val="00423864"/>
    <w:rsid w:val="004238DF"/>
    <w:rsid w:val="00424865"/>
    <w:rsid w:val="00424BEF"/>
    <w:rsid w:val="00425034"/>
    <w:rsid w:val="004256A4"/>
    <w:rsid w:val="0042583F"/>
    <w:rsid w:val="004260B3"/>
    <w:rsid w:val="00426223"/>
    <w:rsid w:val="00426E74"/>
    <w:rsid w:val="00427DDC"/>
    <w:rsid w:val="00431032"/>
    <w:rsid w:val="00431229"/>
    <w:rsid w:val="00431A77"/>
    <w:rsid w:val="00431C65"/>
    <w:rsid w:val="004324DD"/>
    <w:rsid w:val="00432AC2"/>
    <w:rsid w:val="00432B8E"/>
    <w:rsid w:val="00432EBD"/>
    <w:rsid w:val="0043325B"/>
    <w:rsid w:val="004339A5"/>
    <w:rsid w:val="00433A36"/>
    <w:rsid w:val="0043415D"/>
    <w:rsid w:val="004349A8"/>
    <w:rsid w:val="004354FC"/>
    <w:rsid w:val="0043645E"/>
    <w:rsid w:val="00436A72"/>
    <w:rsid w:val="0043701A"/>
    <w:rsid w:val="004371BE"/>
    <w:rsid w:val="0043757F"/>
    <w:rsid w:val="004377F2"/>
    <w:rsid w:val="00437DA3"/>
    <w:rsid w:val="004406FC"/>
    <w:rsid w:val="00440A58"/>
    <w:rsid w:val="00440F7C"/>
    <w:rsid w:val="004411CD"/>
    <w:rsid w:val="00441258"/>
    <w:rsid w:val="00441B4E"/>
    <w:rsid w:val="004430F6"/>
    <w:rsid w:val="00443D69"/>
    <w:rsid w:val="0044406F"/>
    <w:rsid w:val="004454F7"/>
    <w:rsid w:val="00445FFD"/>
    <w:rsid w:val="00446148"/>
    <w:rsid w:val="00446CB5"/>
    <w:rsid w:val="00447D55"/>
    <w:rsid w:val="00450A59"/>
    <w:rsid w:val="00450C05"/>
    <w:rsid w:val="00451C8F"/>
    <w:rsid w:val="004522DD"/>
    <w:rsid w:val="00453079"/>
    <w:rsid w:val="004530B2"/>
    <w:rsid w:val="00453265"/>
    <w:rsid w:val="004540E1"/>
    <w:rsid w:val="0045442A"/>
    <w:rsid w:val="004544E0"/>
    <w:rsid w:val="00454A29"/>
    <w:rsid w:val="00454CF0"/>
    <w:rsid w:val="00455520"/>
    <w:rsid w:val="00455855"/>
    <w:rsid w:val="0045680E"/>
    <w:rsid w:val="004571A8"/>
    <w:rsid w:val="004578B9"/>
    <w:rsid w:val="004600B6"/>
    <w:rsid w:val="00460718"/>
    <w:rsid w:val="00461145"/>
    <w:rsid w:val="004616FC"/>
    <w:rsid w:val="00461CF2"/>
    <w:rsid w:val="00461FF8"/>
    <w:rsid w:val="00462B45"/>
    <w:rsid w:val="00462CA9"/>
    <w:rsid w:val="004630B3"/>
    <w:rsid w:val="00463395"/>
    <w:rsid w:val="004635FE"/>
    <w:rsid w:val="0046375E"/>
    <w:rsid w:val="004641F2"/>
    <w:rsid w:val="00464201"/>
    <w:rsid w:val="0046481E"/>
    <w:rsid w:val="00464DBF"/>
    <w:rsid w:val="0046548F"/>
    <w:rsid w:val="0046583B"/>
    <w:rsid w:val="00465E2D"/>
    <w:rsid w:val="004660C5"/>
    <w:rsid w:val="0046697C"/>
    <w:rsid w:val="0046706B"/>
    <w:rsid w:val="00467132"/>
    <w:rsid w:val="00467D05"/>
    <w:rsid w:val="00470AA6"/>
    <w:rsid w:val="004712F0"/>
    <w:rsid w:val="00471B34"/>
    <w:rsid w:val="00472309"/>
    <w:rsid w:val="00472A78"/>
    <w:rsid w:val="00472E27"/>
    <w:rsid w:val="00472E82"/>
    <w:rsid w:val="00473547"/>
    <w:rsid w:val="0047412F"/>
    <w:rsid w:val="00474CE2"/>
    <w:rsid w:val="00475A0D"/>
    <w:rsid w:val="00475AAF"/>
    <w:rsid w:val="00475E33"/>
    <w:rsid w:val="00477544"/>
    <w:rsid w:val="004804EC"/>
    <w:rsid w:val="00481228"/>
    <w:rsid w:val="0048151B"/>
    <w:rsid w:val="00482227"/>
    <w:rsid w:val="00482C37"/>
    <w:rsid w:val="00482E03"/>
    <w:rsid w:val="0048417E"/>
    <w:rsid w:val="00484951"/>
    <w:rsid w:val="00484B6A"/>
    <w:rsid w:val="004851BA"/>
    <w:rsid w:val="004856F8"/>
    <w:rsid w:val="00485824"/>
    <w:rsid w:val="00485A3F"/>
    <w:rsid w:val="004865A5"/>
    <w:rsid w:val="0048764C"/>
    <w:rsid w:val="0048790C"/>
    <w:rsid w:val="0048795C"/>
    <w:rsid w:val="00487990"/>
    <w:rsid w:val="00487F91"/>
    <w:rsid w:val="0049085F"/>
    <w:rsid w:val="00490BB8"/>
    <w:rsid w:val="004910F5"/>
    <w:rsid w:val="0049257B"/>
    <w:rsid w:val="0049305E"/>
    <w:rsid w:val="00493113"/>
    <w:rsid w:val="00494900"/>
    <w:rsid w:val="00494F3F"/>
    <w:rsid w:val="004952AF"/>
    <w:rsid w:val="004953F5"/>
    <w:rsid w:val="00495613"/>
    <w:rsid w:val="00495896"/>
    <w:rsid w:val="004958A2"/>
    <w:rsid w:val="00495B6C"/>
    <w:rsid w:val="00495E42"/>
    <w:rsid w:val="00495F0E"/>
    <w:rsid w:val="004966D7"/>
    <w:rsid w:val="0049776F"/>
    <w:rsid w:val="004A0D3B"/>
    <w:rsid w:val="004A0FA4"/>
    <w:rsid w:val="004A1136"/>
    <w:rsid w:val="004A16F1"/>
    <w:rsid w:val="004A174A"/>
    <w:rsid w:val="004A182A"/>
    <w:rsid w:val="004A18F0"/>
    <w:rsid w:val="004A19D6"/>
    <w:rsid w:val="004A20BB"/>
    <w:rsid w:val="004A2719"/>
    <w:rsid w:val="004A28A3"/>
    <w:rsid w:val="004A3A6C"/>
    <w:rsid w:val="004A4831"/>
    <w:rsid w:val="004A4847"/>
    <w:rsid w:val="004A4CC3"/>
    <w:rsid w:val="004A5B10"/>
    <w:rsid w:val="004A5CEE"/>
    <w:rsid w:val="004A6782"/>
    <w:rsid w:val="004A6E82"/>
    <w:rsid w:val="004A6EEB"/>
    <w:rsid w:val="004A6F02"/>
    <w:rsid w:val="004A6FF6"/>
    <w:rsid w:val="004A7520"/>
    <w:rsid w:val="004A7F39"/>
    <w:rsid w:val="004B044A"/>
    <w:rsid w:val="004B062B"/>
    <w:rsid w:val="004B123A"/>
    <w:rsid w:val="004B144A"/>
    <w:rsid w:val="004B193B"/>
    <w:rsid w:val="004B1C30"/>
    <w:rsid w:val="004B1CCB"/>
    <w:rsid w:val="004B26D8"/>
    <w:rsid w:val="004B3CC5"/>
    <w:rsid w:val="004B48E0"/>
    <w:rsid w:val="004B48F4"/>
    <w:rsid w:val="004B4A5D"/>
    <w:rsid w:val="004B4B41"/>
    <w:rsid w:val="004B4C6F"/>
    <w:rsid w:val="004B4F9E"/>
    <w:rsid w:val="004B5156"/>
    <w:rsid w:val="004B543A"/>
    <w:rsid w:val="004B58FE"/>
    <w:rsid w:val="004B5934"/>
    <w:rsid w:val="004B617C"/>
    <w:rsid w:val="004B6C88"/>
    <w:rsid w:val="004B6D78"/>
    <w:rsid w:val="004B6F0D"/>
    <w:rsid w:val="004B7C9C"/>
    <w:rsid w:val="004C12F6"/>
    <w:rsid w:val="004C13B3"/>
    <w:rsid w:val="004C1EB4"/>
    <w:rsid w:val="004C1FE7"/>
    <w:rsid w:val="004C2144"/>
    <w:rsid w:val="004C291F"/>
    <w:rsid w:val="004C31F5"/>
    <w:rsid w:val="004C3818"/>
    <w:rsid w:val="004C3BEB"/>
    <w:rsid w:val="004C410B"/>
    <w:rsid w:val="004C41EB"/>
    <w:rsid w:val="004C44CB"/>
    <w:rsid w:val="004C4588"/>
    <w:rsid w:val="004C5064"/>
    <w:rsid w:val="004C5E52"/>
    <w:rsid w:val="004C6227"/>
    <w:rsid w:val="004C62D8"/>
    <w:rsid w:val="004C6795"/>
    <w:rsid w:val="004C6904"/>
    <w:rsid w:val="004C6DA2"/>
    <w:rsid w:val="004C7BDD"/>
    <w:rsid w:val="004C7DA8"/>
    <w:rsid w:val="004C7E55"/>
    <w:rsid w:val="004D0B12"/>
    <w:rsid w:val="004D16A1"/>
    <w:rsid w:val="004D1704"/>
    <w:rsid w:val="004D1A31"/>
    <w:rsid w:val="004D2C48"/>
    <w:rsid w:val="004D421E"/>
    <w:rsid w:val="004D4734"/>
    <w:rsid w:val="004D5716"/>
    <w:rsid w:val="004D60DD"/>
    <w:rsid w:val="004D6323"/>
    <w:rsid w:val="004D6713"/>
    <w:rsid w:val="004D743C"/>
    <w:rsid w:val="004E0111"/>
    <w:rsid w:val="004E118D"/>
    <w:rsid w:val="004E14C7"/>
    <w:rsid w:val="004E2117"/>
    <w:rsid w:val="004E2378"/>
    <w:rsid w:val="004E2702"/>
    <w:rsid w:val="004E2BEA"/>
    <w:rsid w:val="004E3AC3"/>
    <w:rsid w:val="004E3C2E"/>
    <w:rsid w:val="004E48CE"/>
    <w:rsid w:val="004E4F12"/>
    <w:rsid w:val="004E65CB"/>
    <w:rsid w:val="004E699D"/>
    <w:rsid w:val="004E6E61"/>
    <w:rsid w:val="004E721A"/>
    <w:rsid w:val="004E7447"/>
    <w:rsid w:val="004E7489"/>
    <w:rsid w:val="004F1234"/>
    <w:rsid w:val="004F187C"/>
    <w:rsid w:val="004F2EEA"/>
    <w:rsid w:val="004F34C6"/>
    <w:rsid w:val="004F353A"/>
    <w:rsid w:val="004F3B12"/>
    <w:rsid w:val="004F4AC4"/>
    <w:rsid w:val="004F4D37"/>
    <w:rsid w:val="004F4EA0"/>
    <w:rsid w:val="004F52B6"/>
    <w:rsid w:val="004F5370"/>
    <w:rsid w:val="004F6640"/>
    <w:rsid w:val="004F75F1"/>
    <w:rsid w:val="004F7981"/>
    <w:rsid w:val="00500A75"/>
    <w:rsid w:val="00501101"/>
    <w:rsid w:val="00501B6F"/>
    <w:rsid w:val="00502223"/>
    <w:rsid w:val="005030DE"/>
    <w:rsid w:val="00503253"/>
    <w:rsid w:val="00503A74"/>
    <w:rsid w:val="00503BE0"/>
    <w:rsid w:val="00503E1A"/>
    <w:rsid w:val="00504F30"/>
    <w:rsid w:val="005056D5"/>
    <w:rsid w:val="005058E9"/>
    <w:rsid w:val="0050591F"/>
    <w:rsid w:val="00505A55"/>
    <w:rsid w:val="00506461"/>
    <w:rsid w:val="00506514"/>
    <w:rsid w:val="0050762B"/>
    <w:rsid w:val="00510039"/>
    <w:rsid w:val="005123FF"/>
    <w:rsid w:val="005125DF"/>
    <w:rsid w:val="00512F0B"/>
    <w:rsid w:val="00513205"/>
    <w:rsid w:val="0051338F"/>
    <w:rsid w:val="005138C1"/>
    <w:rsid w:val="00513DC3"/>
    <w:rsid w:val="00514072"/>
    <w:rsid w:val="0051434B"/>
    <w:rsid w:val="00514BEE"/>
    <w:rsid w:val="00514E34"/>
    <w:rsid w:val="0051589F"/>
    <w:rsid w:val="005159ED"/>
    <w:rsid w:val="0051638B"/>
    <w:rsid w:val="005171F1"/>
    <w:rsid w:val="005201A0"/>
    <w:rsid w:val="00520206"/>
    <w:rsid w:val="00520A39"/>
    <w:rsid w:val="00520C0E"/>
    <w:rsid w:val="00520CF3"/>
    <w:rsid w:val="00521568"/>
    <w:rsid w:val="005217CD"/>
    <w:rsid w:val="00522092"/>
    <w:rsid w:val="005222B4"/>
    <w:rsid w:val="00522559"/>
    <w:rsid w:val="00522B4B"/>
    <w:rsid w:val="00523AE2"/>
    <w:rsid w:val="00523D3A"/>
    <w:rsid w:val="00524108"/>
    <w:rsid w:val="005250F5"/>
    <w:rsid w:val="00525BD7"/>
    <w:rsid w:val="00525FBD"/>
    <w:rsid w:val="00526B5D"/>
    <w:rsid w:val="00527163"/>
    <w:rsid w:val="00527575"/>
    <w:rsid w:val="00527607"/>
    <w:rsid w:val="005278D2"/>
    <w:rsid w:val="00527955"/>
    <w:rsid w:val="005279C9"/>
    <w:rsid w:val="005300B7"/>
    <w:rsid w:val="00530B2F"/>
    <w:rsid w:val="005310BA"/>
    <w:rsid w:val="00531369"/>
    <w:rsid w:val="00531407"/>
    <w:rsid w:val="0053140D"/>
    <w:rsid w:val="00531D0B"/>
    <w:rsid w:val="0053271A"/>
    <w:rsid w:val="00532F0C"/>
    <w:rsid w:val="00533E57"/>
    <w:rsid w:val="00534053"/>
    <w:rsid w:val="005348C5"/>
    <w:rsid w:val="005353B3"/>
    <w:rsid w:val="005353B9"/>
    <w:rsid w:val="005355F6"/>
    <w:rsid w:val="005357F3"/>
    <w:rsid w:val="00535C17"/>
    <w:rsid w:val="005366F0"/>
    <w:rsid w:val="00536A2C"/>
    <w:rsid w:val="005379D5"/>
    <w:rsid w:val="0054106B"/>
    <w:rsid w:val="005416F5"/>
    <w:rsid w:val="005419D5"/>
    <w:rsid w:val="005421A0"/>
    <w:rsid w:val="005425C7"/>
    <w:rsid w:val="0054266E"/>
    <w:rsid w:val="00542734"/>
    <w:rsid w:val="00542E99"/>
    <w:rsid w:val="00542F80"/>
    <w:rsid w:val="005434CF"/>
    <w:rsid w:val="00544153"/>
    <w:rsid w:val="005444B6"/>
    <w:rsid w:val="00544EF1"/>
    <w:rsid w:val="00545647"/>
    <w:rsid w:val="00545EA6"/>
    <w:rsid w:val="00545F9A"/>
    <w:rsid w:val="00546644"/>
    <w:rsid w:val="0054670A"/>
    <w:rsid w:val="005469EA"/>
    <w:rsid w:val="00546DAF"/>
    <w:rsid w:val="00546F08"/>
    <w:rsid w:val="00547215"/>
    <w:rsid w:val="005479C5"/>
    <w:rsid w:val="00547A7A"/>
    <w:rsid w:val="00550014"/>
    <w:rsid w:val="005503D4"/>
    <w:rsid w:val="005509F7"/>
    <w:rsid w:val="00551067"/>
    <w:rsid w:val="005517E1"/>
    <w:rsid w:val="005531A2"/>
    <w:rsid w:val="005539EB"/>
    <w:rsid w:val="00553EF9"/>
    <w:rsid w:val="00554B7C"/>
    <w:rsid w:val="005561B4"/>
    <w:rsid w:val="005568E6"/>
    <w:rsid w:val="005569D8"/>
    <w:rsid w:val="00556C79"/>
    <w:rsid w:val="00557EBB"/>
    <w:rsid w:val="00561220"/>
    <w:rsid w:val="005617DC"/>
    <w:rsid w:val="00561A5C"/>
    <w:rsid w:val="0056225F"/>
    <w:rsid w:val="0056241C"/>
    <w:rsid w:val="00562485"/>
    <w:rsid w:val="00562D61"/>
    <w:rsid w:val="00562E34"/>
    <w:rsid w:val="00564868"/>
    <w:rsid w:val="005651B9"/>
    <w:rsid w:val="0056524A"/>
    <w:rsid w:val="0056584A"/>
    <w:rsid w:val="00565CDB"/>
    <w:rsid w:val="00565DFD"/>
    <w:rsid w:val="00566AAA"/>
    <w:rsid w:val="00566F17"/>
    <w:rsid w:val="0056730A"/>
    <w:rsid w:val="00567850"/>
    <w:rsid w:val="00570113"/>
    <w:rsid w:val="00570169"/>
    <w:rsid w:val="005703C8"/>
    <w:rsid w:val="005707D8"/>
    <w:rsid w:val="005717CB"/>
    <w:rsid w:val="00572334"/>
    <w:rsid w:val="0057234D"/>
    <w:rsid w:val="00572C7C"/>
    <w:rsid w:val="005738A1"/>
    <w:rsid w:val="00573A1D"/>
    <w:rsid w:val="00574773"/>
    <w:rsid w:val="00576409"/>
    <w:rsid w:val="00576C03"/>
    <w:rsid w:val="00576DCF"/>
    <w:rsid w:val="005771F6"/>
    <w:rsid w:val="005778A6"/>
    <w:rsid w:val="005801EC"/>
    <w:rsid w:val="00580A58"/>
    <w:rsid w:val="00581870"/>
    <w:rsid w:val="00581DF1"/>
    <w:rsid w:val="00581E80"/>
    <w:rsid w:val="00582369"/>
    <w:rsid w:val="00582DBE"/>
    <w:rsid w:val="00583995"/>
    <w:rsid w:val="00583CAC"/>
    <w:rsid w:val="0058400E"/>
    <w:rsid w:val="0058435B"/>
    <w:rsid w:val="00584755"/>
    <w:rsid w:val="00585588"/>
    <w:rsid w:val="00585D9F"/>
    <w:rsid w:val="00586F3D"/>
    <w:rsid w:val="005873B9"/>
    <w:rsid w:val="00587C60"/>
    <w:rsid w:val="00587CD1"/>
    <w:rsid w:val="005914DA"/>
    <w:rsid w:val="00591A9C"/>
    <w:rsid w:val="00591BDD"/>
    <w:rsid w:val="00592328"/>
    <w:rsid w:val="005932D2"/>
    <w:rsid w:val="005933D3"/>
    <w:rsid w:val="005936B1"/>
    <w:rsid w:val="0059488E"/>
    <w:rsid w:val="005958EC"/>
    <w:rsid w:val="00595C6C"/>
    <w:rsid w:val="00596536"/>
    <w:rsid w:val="00596BFE"/>
    <w:rsid w:val="00596E4A"/>
    <w:rsid w:val="00596F7B"/>
    <w:rsid w:val="005970FD"/>
    <w:rsid w:val="005972D0"/>
    <w:rsid w:val="005972FE"/>
    <w:rsid w:val="0059744A"/>
    <w:rsid w:val="005979B8"/>
    <w:rsid w:val="00597A23"/>
    <w:rsid w:val="005A0F83"/>
    <w:rsid w:val="005A1734"/>
    <w:rsid w:val="005A188F"/>
    <w:rsid w:val="005A23E0"/>
    <w:rsid w:val="005A27DD"/>
    <w:rsid w:val="005A2A18"/>
    <w:rsid w:val="005A2E75"/>
    <w:rsid w:val="005A33EB"/>
    <w:rsid w:val="005A3508"/>
    <w:rsid w:val="005A495D"/>
    <w:rsid w:val="005A4B8F"/>
    <w:rsid w:val="005A4C2C"/>
    <w:rsid w:val="005A4CB0"/>
    <w:rsid w:val="005A517C"/>
    <w:rsid w:val="005A51FA"/>
    <w:rsid w:val="005A573B"/>
    <w:rsid w:val="005A601A"/>
    <w:rsid w:val="005A63BC"/>
    <w:rsid w:val="005A65A0"/>
    <w:rsid w:val="005A6904"/>
    <w:rsid w:val="005A6CBA"/>
    <w:rsid w:val="005A6D37"/>
    <w:rsid w:val="005A7010"/>
    <w:rsid w:val="005A7398"/>
    <w:rsid w:val="005A78A4"/>
    <w:rsid w:val="005A7A96"/>
    <w:rsid w:val="005A7E99"/>
    <w:rsid w:val="005B0428"/>
    <w:rsid w:val="005B048F"/>
    <w:rsid w:val="005B0861"/>
    <w:rsid w:val="005B10F9"/>
    <w:rsid w:val="005B2F8F"/>
    <w:rsid w:val="005B2F9E"/>
    <w:rsid w:val="005B35F7"/>
    <w:rsid w:val="005B3BE5"/>
    <w:rsid w:val="005B3EE8"/>
    <w:rsid w:val="005B4198"/>
    <w:rsid w:val="005B41CE"/>
    <w:rsid w:val="005B46D1"/>
    <w:rsid w:val="005B46F6"/>
    <w:rsid w:val="005B4A61"/>
    <w:rsid w:val="005B4AB3"/>
    <w:rsid w:val="005B4AF2"/>
    <w:rsid w:val="005B5068"/>
    <w:rsid w:val="005B512B"/>
    <w:rsid w:val="005B522A"/>
    <w:rsid w:val="005B5640"/>
    <w:rsid w:val="005B5992"/>
    <w:rsid w:val="005B611D"/>
    <w:rsid w:val="005B62FF"/>
    <w:rsid w:val="005B6300"/>
    <w:rsid w:val="005B6465"/>
    <w:rsid w:val="005B6B9D"/>
    <w:rsid w:val="005B7E60"/>
    <w:rsid w:val="005C07BE"/>
    <w:rsid w:val="005C18A2"/>
    <w:rsid w:val="005C19E4"/>
    <w:rsid w:val="005C1F16"/>
    <w:rsid w:val="005C22DA"/>
    <w:rsid w:val="005C2AD9"/>
    <w:rsid w:val="005C2C6E"/>
    <w:rsid w:val="005C3991"/>
    <w:rsid w:val="005C399C"/>
    <w:rsid w:val="005C3E77"/>
    <w:rsid w:val="005C3F23"/>
    <w:rsid w:val="005C3F86"/>
    <w:rsid w:val="005C4357"/>
    <w:rsid w:val="005C43C7"/>
    <w:rsid w:val="005C47CB"/>
    <w:rsid w:val="005C59DE"/>
    <w:rsid w:val="005C71EE"/>
    <w:rsid w:val="005C7AB2"/>
    <w:rsid w:val="005D0093"/>
    <w:rsid w:val="005D1303"/>
    <w:rsid w:val="005D255C"/>
    <w:rsid w:val="005D2739"/>
    <w:rsid w:val="005D27CE"/>
    <w:rsid w:val="005D36E9"/>
    <w:rsid w:val="005D3970"/>
    <w:rsid w:val="005D39EB"/>
    <w:rsid w:val="005D3EBB"/>
    <w:rsid w:val="005D4003"/>
    <w:rsid w:val="005D4066"/>
    <w:rsid w:val="005D4274"/>
    <w:rsid w:val="005D4CE7"/>
    <w:rsid w:val="005D5792"/>
    <w:rsid w:val="005D5C37"/>
    <w:rsid w:val="005D5CDF"/>
    <w:rsid w:val="005D604E"/>
    <w:rsid w:val="005D7678"/>
    <w:rsid w:val="005D7B40"/>
    <w:rsid w:val="005D7B61"/>
    <w:rsid w:val="005D7BC1"/>
    <w:rsid w:val="005E03B8"/>
    <w:rsid w:val="005E0584"/>
    <w:rsid w:val="005E0D55"/>
    <w:rsid w:val="005E0EDA"/>
    <w:rsid w:val="005E14FB"/>
    <w:rsid w:val="005E2620"/>
    <w:rsid w:val="005E293D"/>
    <w:rsid w:val="005E325C"/>
    <w:rsid w:val="005E3C22"/>
    <w:rsid w:val="005E48A7"/>
    <w:rsid w:val="005E4B95"/>
    <w:rsid w:val="005E4C75"/>
    <w:rsid w:val="005E51A2"/>
    <w:rsid w:val="005E5227"/>
    <w:rsid w:val="005E5AF6"/>
    <w:rsid w:val="005E5B6B"/>
    <w:rsid w:val="005E5C54"/>
    <w:rsid w:val="005E6A58"/>
    <w:rsid w:val="005E6D6E"/>
    <w:rsid w:val="005E7528"/>
    <w:rsid w:val="005F04A1"/>
    <w:rsid w:val="005F0A12"/>
    <w:rsid w:val="005F0AD6"/>
    <w:rsid w:val="005F0ADC"/>
    <w:rsid w:val="005F1BDC"/>
    <w:rsid w:val="005F209E"/>
    <w:rsid w:val="005F2355"/>
    <w:rsid w:val="005F2472"/>
    <w:rsid w:val="005F285E"/>
    <w:rsid w:val="005F2C25"/>
    <w:rsid w:val="005F2CE5"/>
    <w:rsid w:val="005F3399"/>
    <w:rsid w:val="005F3B2F"/>
    <w:rsid w:val="005F3D98"/>
    <w:rsid w:val="005F4513"/>
    <w:rsid w:val="005F4C4B"/>
    <w:rsid w:val="005F4CCA"/>
    <w:rsid w:val="005F5CD2"/>
    <w:rsid w:val="005F6851"/>
    <w:rsid w:val="005F7B17"/>
    <w:rsid w:val="00600160"/>
    <w:rsid w:val="00600166"/>
    <w:rsid w:val="006008E5"/>
    <w:rsid w:val="00600AA8"/>
    <w:rsid w:val="00600DCF"/>
    <w:rsid w:val="00601021"/>
    <w:rsid w:val="006015A6"/>
    <w:rsid w:val="006020A5"/>
    <w:rsid w:val="00602794"/>
    <w:rsid w:val="006027A3"/>
    <w:rsid w:val="00602E46"/>
    <w:rsid w:val="00603BD6"/>
    <w:rsid w:val="006059A2"/>
    <w:rsid w:val="00605A75"/>
    <w:rsid w:val="00605AAB"/>
    <w:rsid w:val="00606172"/>
    <w:rsid w:val="00606285"/>
    <w:rsid w:val="0060661E"/>
    <w:rsid w:val="0060676E"/>
    <w:rsid w:val="00606B0D"/>
    <w:rsid w:val="00607170"/>
    <w:rsid w:val="00607287"/>
    <w:rsid w:val="006076E1"/>
    <w:rsid w:val="0060795B"/>
    <w:rsid w:val="00610451"/>
    <w:rsid w:val="006112CE"/>
    <w:rsid w:val="00611E4C"/>
    <w:rsid w:val="00611F09"/>
    <w:rsid w:val="006123AE"/>
    <w:rsid w:val="00612649"/>
    <w:rsid w:val="00612E2C"/>
    <w:rsid w:val="006130DE"/>
    <w:rsid w:val="00613CC7"/>
    <w:rsid w:val="00613F92"/>
    <w:rsid w:val="00614091"/>
    <w:rsid w:val="00615697"/>
    <w:rsid w:val="00616585"/>
    <w:rsid w:val="006165D6"/>
    <w:rsid w:val="0061688E"/>
    <w:rsid w:val="0061763B"/>
    <w:rsid w:val="00617ED3"/>
    <w:rsid w:val="0062066C"/>
    <w:rsid w:val="0062074B"/>
    <w:rsid w:val="00620AA8"/>
    <w:rsid w:val="00620FF3"/>
    <w:rsid w:val="006216E1"/>
    <w:rsid w:val="006216E4"/>
    <w:rsid w:val="00621E58"/>
    <w:rsid w:val="00621F93"/>
    <w:rsid w:val="00622552"/>
    <w:rsid w:val="00622C2E"/>
    <w:rsid w:val="006240F6"/>
    <w:rsid w:val="0062411E"/>
    <w:rsid w:val="00624ABD"/>
    <w:rsid w:val="006250B8"/>
    <w:rsid w:val="006251B5"/>
    <w:rsid w:val="00625345"/>
    <w:rsid w:val="00625A71"/>
    <w:rsid w:val="006263BD"/>
    <w:rsid w:val="00627340"/>
    <w:rsid w:val="00630C40"/>
    <w:rsid w:val="00630F1F"/>
    <w:rsid w:val="006312A4"/>
    <w:rsid w:val="006314E9"/>
    <w:rsid w:val="0063157C"/>
    <w:rsid w:val="00631BBC"/>
    <w:rsid w:val="00632759"/>
    <w:rsid w:val="00632897"/>
    <w:rsid w:val="00632C90"/>
    <w:rsid w:val="00632EA4"/>
    <w:rsid w:val="00632FF0"/>
    <w:rsid w:val="00633546"/>
    <w:rsid w:val="00633C34"/>
    <w:rsid w:val="00633DF8"/>
    <w:rsid w:val="00633EE3"/>
    <w:rsid w:val="006344F5"/>
    <w:rsid w:val="006351A6"/>
    <w:rsid w:val="0063572A"/>
    <w:rsid w:val="00635E9C"/>
    <w:rsid w:val="00636168"/>
    <w:rsid w:val="00636839"/>
    <w:rsid w:val="00636846"/>
    <w:rsid w:val="00636CF6"/>
    <w:rsid w:val="00636E65"/>
    <w:rsid w:val="00637240"/>
    <w:rsid w:val="006374FC"/>
    <w:rsid w:val="00637819"/>
    <w:rsid w:val="00637E2A"/>
    <w:rsid w:val="00640DF2"/>
    <w:rsid w:val="006413FD"/>
    <w:rsid w:val="00641BAA"/>
    <w:rsid w:val="00641F63"/>
    <w:rsid w:val="006426EE"/>
    <w:rsid w:val="00642FAC"/>
    <w:rsid w:val="006433D2"/>
    <w:rsid w:val="00643454"/>
    <w:rsid w:val="00644164"/>
    <w:rsid w:val="006449F9"/>
    <w:rsid w:val="00645075"/>
    <w:rsid w:val="00645880"/>
    <w:rsid w:val="006458DD"/>
    <w:rsid w:val="006459AC"/>
    <w:rsid w:val="00646498"/>
    <w:rsid w:val="00646F68"/>
    <w:rsid w:val="0064750B"/>
    <w:rsid w:val="006508DD"/>
    <w:rsid w:val="00650DA6"/>
    <w:rsid w:val="00651277"/>
    <w:rsid w:val="006516CA"/>
    <w:rsid w:val="00651D62"/>
    <w:rsid w:val="0065209E"/>
    <w:rsid w:val="0065230B"/>
    <w:rsid w:val="00652604"/>
    <w:rsid w:val="0065270E"/>
    <w:rsid w:val="00652E55"/>
    <w:rsid w:val="00652FEB"/>
    <w:rsid w:val="00653DF8"/>
    <w:rsid w:val="00653E3F"/>
    <w:rsid w:val="006544F4"/>
    <w:rsid w:val="00654754"/>
    <w:rsid w:val="00654C7B"/>
    <w:rsid w:val="0065525A"/>
    <w:rsid w:val="00655459"/>
    <w:rsid w:val="00655B0F"/>
    <w:rsid w:val="00656CC6"/>
    <w:rsid w:val="00657C55"/>
    <w:rsid w:val="006601CF"/>
    <w:rsid w:val="00660E76"/>
    <w:rsid w:val="00660FE2"/>
    <w:rsid w:val="00661240"/>
    <w:rsid w:val="00661C27"/>
    <w:rsid w:val="006620C3"/>
    <w:rsid w:val="00662809"/>
    <w:rsid w:val="00662A80"/>
    <w:rsid w:val="00662BA9"/>
    <w:rsid w:val="00662DC6"/>
    <w:rsid w:val="00662EF6"/>
    <w:rsid w:val="00663245"/>
    <w:rsid w:val="0066396A"/>
    <w:rsid w:val="006642BA"/>
    <w:rsid w:val="0066551B"/>
    <w:rsid w:val="00665799"/>
    <w:rsid w:val="00665DB8"/>
    <w:rsid w:val="00665E3E"/>
    <w:rsid w:val="00666C9A"/>
    <w:rsid w:val="00666CED"/>
    <w:rsid w:val="00667010"/>
    <w:rsid w:val="00667B3E"/>
    <w:rsid w:val="00667C85"/>
    <w:rsid w:val="0067033E"/>
    <w:rsid w:val="006704DA"/>
    <w:rsid w:val="00670AC4"/>
    <w:rsid w:val="00670D8B"/>
    <w:rsid w:val="00671002"/>
    <w:rsid w:val="00674B3C"/>
    <w:rsid w:val="006750A6"/>
    <w:rsid w:val="006752AC"/>
    <w:rsid w:val="006757EE"/>
    <w:rsid w:val="0067580B"/>
    <w:rsid w:val="00676CF8"/>
    <w:rsid w:val="0067796F"/>
    <w:rsid w:val="006810A0"/>
    <w:rsid w:val="0068110B"/>
    <w:rsid w:val="0068149F"/>
    <w:rsid w:val="00681D63"/>
    <w:rsid w:val="006825AE"/>
    <w:rsid w:val="00682A11"/>
    <w:rsid w:val="00682DBE"/>
    <w:rsid w:val="006830A2"/>
    <w:rsid w:val="0068326D"/>
    <w:rsid w:val="0068334A"/>
    <w:rsid w:val="006835C0"/>
    <w:rsid w:val="0068473E"/>
    <w:rsid w:val="00684A15"/>
    <w:rsid w:val="006855B6"/>
    <w:rsid w:val="00686754"/>
    <w:rsid w:val="00686BCC"/>
    <w:rsid w:val="00687476"/>
    <w:rsid w:val="006904BD"/>
    <w:rsid w:val="00690848"/>
    <w:rsid w:val="00690955"/>
    <w:rsid w:val="00691CA8"/>
    <w:rsid w:val="00691D33"/>
    <w:rsid w:val="00691F93"/>
    <w:rsid w:val="0069207D"/>
    <w:rsid w:val="006930CF"/>
    <w:rsid w:val="00693DAA"/>
    <w:rsid w:val="00694B76"/>
    <w:rsid w:val="00695002"/>
    <w:rsid w:val="0069559F"/>
    <w:rsid w:val="0069566F"/>
    <w:rsid w:val="0069580D"/>
    <w:rsid w:val="00695F70"/>
    <w:rsid w:val="00696F8A"/>
    <w:rsid w:val="006975AE"/>
    <w:rsid w:val="006A037C"/>
    <w:rsid w:val="006A0ABC"/>
    <w:rsid w:val="006A1213"/>
    <w:rsid w:val="006A1923"/>
    <w:rsid w:val="006A2510"/>
    <w:rsid w:val="006A2ECF"/>
    <w:rsid w:val="006A30B0"/>
    <w:rsid w:val="006A3234"/>
    <w:rsid w:val="006A343B"/>
    <w:rsid w:val="006A378F"/>
    <w:rsid w:val="006A3BFB"/>
    <w:rsid w:val="006A428E"/>
    <w:rsid w:val="006A4734"/>
    <w:rsid w:val="006A4BBC"/>
    <w:rsid w:val="006A5BD5"/>
    <w:rsid w:val="006A689E"/>
    <w:rsid w:val="006A6948"/>
    <w:rsid w:val="006A712D"/>
    <w:rsid w:val="006B0029"/>
    <w:rsid w:val="006B0DBE"/>
    <w:rsid w:val="006B2166"/>
    <w:rsid w:val="006B2C2B"/>
    <w:rsid w:val="006B537C"/>
    <w:rsid w:val="006B6B00"/>
    <w:rsid w:val="006B6D96"/>
    <w:rsid w:val="006B7641"/>
    <w:rsid w:val="006B7A95"/>
    <w:rsid w:val="006C098A"/>
    <w:rsid w:val="006C0ED3"/>
    <w:rsid w:val="006C2056"/>
    <w:rsid w:val="006C2536"/>
    <w:rsid w:val="006C2640"/>
    <w:rsid w:val="006C2D18"/>
    <w:rsid w:val="006C3508"/>
    <w:rsid w:val="006C4096"/>
    <w:rsid w:val="006C464B"/>
    <w:rsid w:val="006C4801"/>
    <w:rsid w:val="006C4AEB"/>
    <w:rsid w:val="006C4DCB"/>
    <w:rsid w:val="006C65BE"/>
    <w:rsid w:val="006C6B22"/>
    <w:rsid w:val="006C7258"/>
    <w:rsid w:val="006D0345"/>
    <w:rsid w:val="006D0A04"/>
    <w:rsid w:val="006D1D54"/>
    <w:rsid w:val="006D29CB"/>
    <w:rsid w:val="006D2B89"/>
    <w:rsid w:val="006D3461"/>
    <w:rsid w:val="006D3FD7"/>
    <w:rsid w:val="006D4A7F"/>
    <w:rsid w:val="006D5578"/>
    <w:rsid w:val="006D5952"/>
    <w:rsid w:val="006D5F33"/>
    <w:rsid w:val="006D616C"/>
    <w:rsid w:val="006D7D5E"/>
    <w:rsid w:val="006E0143"/>
    <w:rsid w:val="006E07CF"/>
    <w:rsid w:val="006E09AD"/>
    <w:rsid w:val="006E0B4D"/>
    <w:rsid w:val="006E0ED7"/>
    <w:rsid w:val="006E137C"/>
    <w:rsid w:val="006E16C7"/>
    <w:rsid w:val="006E21E5"/>
    <w:rsid w:val="006E258D"/>
    <w:rsid w:val="006E27D6"/>
    <w:rsid w:val="006E3128"/>
    <w:rsid w:val="006E38A3"/>
    <w:rsid w:val="006E3919"/>
    <w:rsid w:val="006E4096"/>
    <w:rsid w:val="006E45EF"/>
    <w:rsid w:val="006E490C"/>
    <w:rsid w:val="006E4ADA"/>
    <w:rsid w:val="006E4BA4"/>
    <w:rsid w:val="006E5031"/>
    <w:rsid w:val="006E50B2"/>
    <w:rsid w:val="006E52D9"/>
    <w:rsid w:val="006E56C8"/>
    <w:rsid w:val="006E69CD"/>
    <w:rsid w:val="006E6D1F"/>
    <w:rsid w:val="006E6DBA"/>
    <w:rsid w:val="006E7209"/>
    <w:rsid w:val="006E7C0E"/>
    <w:rsid w:val="006F06B9"/>
    <w:rsid w:val="006F0A6A"/>
    <w:rsid w:val="006F0A8C"/>
    <w:rsid w:val="006F0D2A"/>
    <w:rsid w:val="006F1017"/>
    <w:rsid w:val="006F10D9"/>
    <w:rsid w:val="006F10EF"/>
    <w:rsid w:val="006F12C4"/>
    <w:rsid w:val="006F15CC"/>
    <w:rsid w:val="006F1670"/>
    <w:rsid w:val="006F18F5"/>
    <w:rsid w:val="006F1940"/>
    <w:rsid w:val="006F20D2"/>
    <w:rsid w:val="006F3123"/>
    <w:rsid w:val="006F3543"/>
    <w:rsid w:val="006F3DF2"/>
    <w:rsid w:val="006F4428"/>
    <w:rsid w:val="006F49CA"/>
    <w:rsid w:val="006F51A5"/>
    <w:rsid w:val="006F6103"/>
    <w:rsid w:val="006F6715"/>
    <w:rsid w:val="006F6F23"/>
    <w:rsid w:val="006F7009"/>
    <w:rsid w:val="006F71E9"/>
    <w:rsid w:val="006F7533"/>
    <w:rsid w:val="006F7F72"/>
    <w:rsid w:val="00700281"/>
    <w:rsid w:val="007007F7"/>
    <w:rsid w:val="00700841"/>
    <w:rsid w:val="00700E3F"/>
    <w:rsid w:val="00701BB5"/>
    <w:rsid w:val="00701EE5"/>
    <w:rsid w:val="007024DC"/>
    <w:rsid w:val="007026AB"/>
    <w:rsid w:val="00702971"/>
    <w:rsid w:val="00702C45"/>
    <w:rsid w:val="00703172"/>
    <w:rsid w:val="007032CB"/>
    <w:rsid w:val="00703A62"/>
    <w:rsid w:val="00703CF3"/>
    <w:rsid w:val="007041F6"/>
    <w:rsid w:val="00704986"/>
    <w:rsid w:val="00705599"/>
    <w:rsid w:val="0070577C"/>
    <w:rsid w:val="00706D15"/>
    <w:rsid w:val="00706FBD"/>
    <w:rsid w:val="0070716C"/>
    <w:rsid w:val="00707B92"/>
    <w:rsid w:val="00707E0B"/>
    <w:rsid w:val="007100DF"/>
    <w:rsid w:val="007101EA"/>
    <w:rsid w:val="007106A3"/>
    <w:rsid w:val="0071305A"/>
    <w:rsid w:val="00713FF3"/>
    <w:rsid w:val="00714188"/>
    <w:rsid w:val="007141CD"/>
    <w:rsid w:val="00714B89"/>
    <w:rsid w:val="00714FD2"/>
    <w:rsid w:val="00715130"/>
    <w:rsid w:val="007152AB"/>
    <w:rsid w:val="0071591C"/>
    <w:rsid w:val="00716073"/>
    <w:rsid w:val="00716AF5"/>
    <w:rsid w:val="00716BF0"/>
    <w:rsid w:val="007174C7"/>
    <w:rsid w:val="00717E17"/>
    <w:rsid w:val="007203BF"/>
    <w:rsid w:val="00720711"/>
    <w:rsid w:val="00720FA8"/>
    <w:rsid w:val="007212F8"/>
    <w:rsid w:val="0072135E"/>
    <w:rsid w:val="007225AB"/>
    <w:rsid w:val="00722CB8"/>
    <w:rsid w:val="00723467"/>
    <w:rsid w:val="00723582"/>
    <w:rsid w:val="0072391A"/>
    <w:rsid w:val="00723E95"/>
    <w:rsid w:val="00723FCF"/>
    <w:rsid w:val="0072555D"/>
    <w:rsid w:val="00725BA6"/>
    <w:rsid w:val="0072679B"/>
    <w:rsid w:val="007271EE"/>
    <w:rsid w:val="0072798F"/>
    <w:rsid w:val="00727AD3"/>
    <w:rsid w:val="00727AF6"/>
    <w:rsid w:val="007305A5"/>
    <w:rsid w:val="007308D8"/>
    <w:rsid w:val="00730B39"/>
    <w:rsid w:val="00731453"/>
    <w:rsid w:val="00731943"/>
    <w:rsid w:val="00731C84"/>
    <w:rsid w:val="00732F67"/>
    <w:rsid w:val="00732FEE"/>
    <w:rsid w:val="007332EF"/>
    <w:rsid w:val="0073340F"/>
    <w:rsid w:val="0073418C"/>
    <w:rsid w:val="00734548"/>
    <w:rsid w:val="0073525A"/>
    <w:rsid w:val="0073555A"/>
    <w:rsid w:val="00735E8E"/>
    <w:rsid w:val="007370F5"/>
    <w:rsid w:val="00737559"/>
    <w:rsid w:val="00737CBA"/>
    <w:rsid w:val="00737E3C"/>
    <w:rsid w:val="00737EE7"/>
    <w:rsid w:val="007407C0"/>
    <w:rsid w:val="00740A3B"/>
    <w:rsid w:val="00740D37"/>
    <w:rsid w:val="00740F70"/>
    <w:rsid w:val="00741963"/>
    <w:rsid w:val="00741B63"/>
    <w:rsid w:val="00741F5A"/>
    <w:rsid w:val="007424E7"/>
    <w:rsid w:val="007426C3"/>
    <w:rsid w:val="00742D3B"/>
    <w:rsid w:val="00743511"/>
    <w:rsid w:val="00743573"/>
    <w:rsid w:val="0074368E"/>
    <w:rsid w:val="00743CCE"/>
    <w:rsid w:val="00743D4E"/>
    <w:rsid w:val="00744438"/>
    <w:rsid w:val="00744EE8"/>
    <w:rsid w:val="00745F7C"/>
    <w:rsid w:val="00746186"/>
    <w:rsid w:val="0074642A"/>
    <w:rsid w:val="00746720"/>
    <w:rsid w:val="00746722"/>
    <w:rsid w:val="00746DFC"/>
    <w:rsid w:val="007473CF"/>
    <w:rsid w:val="00747811"/>
    <w:rsid w:val="00747CC2"/>
    <w:rsid w:val="007515F1"/>
    <w:rsid w:val="007518F9"/>
    <w:rsid w:val="00752044"/>
    <w:rsid w:val="007522D0"/>
    <w:rsid w:val="0075249A"/>
    <w:rsid w:val="00752E1C"/>
    <w:rsid w:val="00753086"/>
    <w:rsid w:val="0075369E"/>
    <w:rsid w:val="00753708"/>
    <w:rsid w:val="007542EA"/>
    <w:rsid w:val="00754E51"/>
    <w:rsid w:val="00754EE3"/>
    <w:rsid w:val="007552BC"/>
    <w:rsid w:val="007555E0"/>
    <w:rsid w:val="00755DEA"/>
    <w:rsid w:val="00756048"/>
    <w:rsid w:val="007569B8"/>
    <w:rsid w:val="007574D4"/>
    <w:rsid w:val="00760186"/>
    <w:rsid w:val="00760FE1"/>
    <w:rsid w:val="0076166D"/>
    <w:rsid w:val="007623F9"/>
    <w:rsid w:val="00762873"/>
    <w:rsid w:val="007629A6"/>
    <w:rsid w:val="00763069"/>
    <w:rsid w:val="00763207"/>
    <w:rsid w:val="007632DA"/>
    <w:rsid w:val="007633F1"/>
    <w:rsid w:val="00763FCB"/>
    <w:rsid w:val="007644D1"/>
    <w:rsid w:val="00765D19"/>
    <w:rsid w:val="0076604D"/>
    <w:rsid w:val="0076726D"/>
    <w:rsid w:val="00767293"/>
    <w:rsid w:val="007674DD"/>
    <w:rsid w:val="007675AE"/>
    <w:rsid w:val="007709FE"/>
    <w:rsid w:val="00770AB2"/>
    <w:rsid w:val="00770E47"/>
    <w:rsid w:val="0077117D"/>
    <w:rsid w:val="00771EF8"/>
    <w:rsid w:val="00772E09"/>
    <w:rsid w:val="00773C8E"/>
    <w:rsid w:val="00773CBC"/>
    <w:rsid w:val="00773E3D"/>
    <w:rsid w:val="00773FA4"/>
    <w:rsid w:val="00774008"/>
    <w:rsid w:val="00774207"/>
    <w:rsid w:val="007744FF"/>
    <w:rsid w:val="00774A6D"/>
    <w:rsid w:val="00775C79"/>
    <w:rsid w:val="00775C9A"/>
    <w:rsid w:val="007769EE"/>
    <w:rsid w:val="00776A1A"/>
    <w:rsid w:val="00776DD0"/>
    <w:rsid w:val="00776FCF"/>
    <w:rsid w:val="007773E8"/>
    <w:rsid w:val="00780C1E"/>
    <w:rsid w:val="00780CFC"/>
    <w:rsid w:val="0078162E"/>
    <w:rsid w:val="00781A1F"/>
    <w:rsid w:val="00781A93"/>
    <w:rsid w:val="00781BB9"/>
    <w:rsid w:val="0078261B"/>
    <w:rsid w:val="007832D6"/>
    <w:rsid w:val="00783778"/>
    <w:rsid w:val="00783C41"/>
    <w:rsid w:val="00783F50"/>
    <w:rsid w:val="00783FB5"/>
    <w:rsid w:val="007841E0"/>
    <w:rsid w:val="00784D54"/>
    <w:rsid w:val="00784FFF"/>
    <w:rsid w:val="00785059"/>
    <w:rsid w:val="00785442"/>
    <w:rsid w:val="0078627F"/>
    <w:rsid w:val="00786AE1"/>
    <w:rsid w:val="00787FD7"/>
    <w:rsid w:val="00790582"/>
    <w:rsid w:val="00790E1A"/>
    <w:rsid w:val="00790F04"/>
    <w:rsid w:val="00790F2B"/>
    <w:rsid w:val="00791977"/>
    <w:rsid w:val="00791D71"/>
    <w:rsid w:val="007923F8"/>
    <w:rsid w:val="00792459"/>
    <w:rsid w:val="00792875"/>
    <w:rsid w:val="00792CFA"/>
    <w:rsid w:val="00792D61"/>
    <w:rsid w:val="00792F15"/>
    <w:rsid w:val="007930B5"/>
    <w:rsid w:val="007932D8"/>
    <w:rsid w:val="0079382E"/>
    <w:rsid w:val="00793905"/>
    <w:rsid w:val="00793FF1"/>
    <w:rsid w:val="00794775"/>
    <w:rsid w:val="00794A79"/>
    <w:rsid w:val="00795404"/>
    <w:rsid w:val="0079550C"/>
    <w:rsid w:val="00795D2A"/>
    <w:rsid w:val="00796263"/>
    <w:rsid w:val="00796896"/>
    <w:rsid w:val="007973CD"/>
    <w:rsid w:val="00797B4C"/>
    <w:rsid w:val="007A0381"/>
    <w:rsid w:val="007A06CD"/>
    <w:rsid w:val="007A0741"/>
    <w:rsid w:val="007A0ED6"/>
    <w:rsid w:val="007A1FD8"/>
    <w:rsid w:val="007A2E06"/>
    <w:rsid w:val="007A2E10"/>
    <w:rsid w:val="007A34E4"/>
    <w:rsid w:val="007A4248"/>
    <w:rsid w:val="007A4711"/>
    <w:rsid w:val="007A4C7E"/>
    <w:rsid w:val="007A5905"/>
    <w:rsid w:val="007A68E3"/>
    <w:rsid w:val="007A700A"/>
    <w:rsid w:val="007A7357"/>
    <w:rsid w:val="007A781A"/>
    <w:rsid w:val="007B0001"/>
    <w:rsid w:val="007B0E94"/>
    <w:rsid w:val="007B1133"/>
    <w:rsid w:val="007B1B08"/>
    <w:rsid w:val="007B1C90"/>
    <w:rsid w:val="007B2066"/>
    <w:rsid w:val="007B21D2"/>
    <w:rsid w:val="007B2549"/>
    <w:rsid w:val="007B273C"/>
    <w:rsid w:val="007B28FF"/>
    <w:rsid w:val="007B4064"/>
    <w:rsid w:val="007B4E3E"/>
    <w:rsid w:val="007B4F37"/>
    <w:rsid w:val="007B50B3"/>
    <w:rsid w:val="007B5362"/>
    <w:rsid w:val="007B54E1"/>
    <w:rsid w:val="007B5B9D"/>
    <w:rsid w:val="007B6287"/>
    <w:rsid w:val="007B64AB"/>
    <w:rsid w:val="007B689A"/>
    <w:rsid w:val="007B6C61"/>
    <w:rsid w:val="007C060A"/>
    <w:rsid w:val="007C0A20"/>
    <w:rsid w:val="007C0DE1"/>
    <w:rsid w:val="007C0FB2"/>
    <w:rsid w:val="007C11B7"/>
    <w:rsid w:val="007C1AB7"/>
    <w:rsid w:val="007C1D12"/>
    <w:rsid w:val="007C22C9"/>
    <w:rsid w:val="007C28E2"/>
    <w:rsid w:val="007C2D26"/>
    <w:rsid w:val="007C39AE"/>
    <w:rsid w:val="007C4013"/>
    <w:rsid w:val="007C4253"/>
    <w:rsid w:val="007C4AC7"/>
    <w:rsid w:val="007C4AF3"/>
    <w:rsid w:val="007C5A73"/>
    <w:rsid w:val="007C5C22"/>
    <w:rsid w:val="007C6077"/>
    <w:rsid w:val="007C6B32"/>
    <w:rsid w:val="007C7559"/>
    <w:rsid w:val="007D0443"/>
    <w:rsid w:val="007D0546"/>
    <w:rsid w:val="007D0E2D"/>
    <w:rsid w:val="007D1BA2"/>
    <w:rsid w:val="007D26E9"/>
    <w:rsid w:val="007D2A09"/>
    <w:rsid w:val="007D2A18"/>
    <w:rsid w:val="007D2D93"/>
    <w:rsid w:val="007D2F79"/>
    <w:rsid w:val="007D33FD"/>
    <w:rsid w:val="007D3B4F"/>
    <w:rsid w:val="007D3CA9"/>
    <w:rsid w:val="007D3D0E"/>
    <w:rsid w:val="007D4B7E"/>
    <w:rsid w:val="007D4DE0"/>
    <w:rsid w:val="007D5BAF"/>
    <w:rsid w:val="007D663D"/>
    <w:rsid w:val="007D67A7"/>
    <w:rsid w:val="007D67C8"/>
    <w:rsid w:val="007D707E"/>
    <w:rsid w:val="007D7326"/>
    <w:rsid w:val="007D76AD"/>
    <w:rsid w:val="007D7CF3"/>
    <w:rsid w:val="007E036F"/>
    <w:rsid w:val="007E1E24"/>
    <w:rsid w:val="007E25F5"/>
    <w:rsid w:val="007E28B5"/>
    <w:rsid w:val="007E3209"/>
    <w:rsid w:val="007E3D5E"/>
    <w:rsid w:val="007E439A"/>
    <w:rsid w:val="007E44C1"/>
    <w:rsid w:val="007E4C2B"/>
    <w:rsid w:val="007E4D6D"/>
    <w:rsid w:val="007E6AD1"/>
    <w:rsid w:val="007E6D40"/>
    <w:rsid w:val="007E7086"/>
    <w:rsid w:val="007E7A61"/>
    <w:rsid w:val="007F0ADD"/>
    <w:rsid w:val="007F0D7F"/>
    <w:rsid w:val="007F0DD2"/>
    <w:rsid w:val="007F0F60"/>
    <w:rsid w:val="007F27CA"/>
    <w:rsid w:val="007F283E"/>
    <w:rsid w:val="007F316A"/>
    <w:rsid w:val="007F3505"/>
    <w:rsid w:val="007F36BA"/>
    <w:rsid w:val="007F425E"/>
    <w:rsid w:val="007F46A4"/>
    <w:rsid w:val="007F47BE"/>
    <w:rsid w:val="007F5D34"/>
    <w:rsid w:val="007F6BB5"/>
    <w:rsid w:val="007F6C0F"/>
    <w:rsid w:val="008006C1"/>
    <w:rsid w:val="00800AA3"/>
    <w:rsid w:val="008011AD"/>
    <w:rsid w:val="00802696"/>
    <w:rsid w:val="00802BE7"/>
    <w:rsid w:val="00802CF8"/>
    <w:rsid w:val="008036BB"/>
    <w:rsid w:val="0080370B"/>
    <w:rsid w:val="0080375D"/>
    <w:rsid w:val="00804BA8"/>
    <w:rsid w:val="00804C0C"/>
    <w:rsid w:val="00804DE7"/>
    <w:rsid w:val="00804EA8"/>
    <w:rsid w:val="00805168"/>
    <w:rsid w:val="0080587C"/>
    <w:rsid w:val="0080591F"/>
    <w:rsid w:val="00805934"/>
    <w:rsid w:val="00806361"/>
    <w:rsid w:val="008064DD"/>
    <w:rsid w:val="008075B9"/>
    <w:rsid w:val="00807628"/>
    <w:rsid w:val="008079AA"/>
    <w:rsid w:val="0080A614"/>
    <w:rsid w:val="008107AD"/>
    <w:rsid w:val="00812044"/>
    <w:rsid w:val="008137C6"/>
    <w:rsid w:val="00813BF1"/>
    <w:rsid w:val="00813FB5"/>
    <w:rsid w:val="00814382"/>
    <w:rsid w:val="008143E3"/>
    <w:rsid w:val="0081453D"/>
    <w:rsid w:val="008145FB"/>
    <w:rsid w:val="00814EE3"/>
    <w:rsid w:val="00815641"/>
    <w:rsid w:val="00815703"/>
    <w:rsid w:val="00816DFD"/>
    <w:rsid w:val="00817737"/>
    <w:rsid w:val="008204FE"/>
    <w:rsid w:val="0082085F"/>
    <w:rsid w:val="0082159C"/>
    <w:rsid w:val="00821DA7"/>
    <w:rsid w:val="00822BE5"/>
    <w:rsid w:val="00824300"/>
    <w:rsid w:val="00824536"/>
    <w:rsid w:val="00824AF4"/>
    <w:rsid w:val="008254C3"/>
    <w:rsid w:val="0082673A"/>
    <w:rsid w:val="008267D4"/>
    <w:rsid w:val="0082727B"/>
    <w:rsid w:val="0082765C"/>
    <w:rsid w:val="008277DC"/>
    <w:rsid w:val="00830913"/>
    <w:rsid w:val="0083106E"/>
    <w:rsid w:val="008310FD"/>
    <w:rsid w:val="0083222F"/>
    <w:rsid w:val="00832242"/>
    <w:rsid w:val="00832514"/>
    <w:rsid w:val="00832C15"/>
    <w:rsid w:val="00832D12"/>
    <w:rsid w:val="00833148"/>
    <w:rsid w:val="00833E5D"/>
    <w:rsid w:val="008343A3"/>
    <w:rsid w:val="008343E8"/>
    <w:rsid w:val="00834A9F"/>
    <w:rsid w:val="00834BE9"/>
    <w:rsid w:val="00834D86"/>
    <w:rsid w:val="00835881"/>
    <w:rsid w:val="008362F6"/>
    <w:rsid w:val="00836BD8"/>
    <w:rsid w:val="00836D85"/>
    <w:rsid w:val="00836F2D"/>
    <w:rsid w:val="00837814"/>
    <w:rsid w:val="00837B5A"/>
    <w:rsid w:val="008400F8"/>
    <w:rsid w:val="00840948"/>
    <w:rsid w:val="00840C59"/>
    <w:rsid w:val="00840D9E"/>
    <w:rsid w:val="00840FFE"/>
    <w:rsid w:val="0084113C"/>
    <w:rsid w:val="008415FA"/>
    <w:rsid w:val="00842114"/>
    <w:rsid w:val="00842C8A"/>
    <w:rsid w:val="00842C95"/>
    <w:rsid w:val="00843B5B"/>
    <w:rsid w:val="00844377"/>
    <w:rsid w:val="008443B8"/>
    <w:rsid w:val="00844BC3"/>
    <w:rsid w:val="0084597A"/>
    <w:rsid w:val="00845CC3"/>
    <w:rsid w:val="008461DD"/>
    <w:rsid w:val="00846A90"/>
    <w:rsid w:val="00846B7F"/>
    <w:rsid w:val="00846C66"/>
    <w:rsid w:val="00847393"/>
    <w:rsid w:val="008474F7"/>
    <w:rsid w:val="00847DC7"/>
    <w:rsid w:val="008508D3"/>
    <w:rsid w:val="008509E9"/>
    <w:rsid w:val="00850BE4"/>
    <w:rsid w:val="008511DF"/>
    <w:rsid w:val="00851401"/>
    <w:rsid w:val="00851450"/>
    <w:rsid w:val="00851BF6"/>
    <w:rsid w:val="00851E83"/>
    <w:rsid w:val="00851F6E"/>
    <w:rsid w:val="0085208D"/>
    <w:rsid w:val="008521CD"/>
    <w:rsid w:val="00852B5E"/>
    <w:rsid w:val="00852D35"/>
    <w:rsid w:val="00853688"/>
    <w:rsid w:val="00853A29"/>
    <w:rsid w:val="008540AA"/>
    <w:rsid w:val="00854F01"/>
    <w:rsid w:val="00854F08"/>
    <w:rsid w:val="008562D7"/>
    <w:rsid w:val="008573AE"/>
    <w:rsid w:val="00857C7F"/>
    <w:rsid w:val="008603BF"/>
    <w:rsid w:val="00860A48"/>
    <w:rsid w:val="00860C51"/>
    <w:rsid w:val="00860C56"/>
    <w:rsid w:val="00861552"/>
    <w:rsid w:val="00861618"/>
    <w:rsid w:val="00861FB0"/>
    <w:rsid w:val="00862A79"/>
    <w:rsid w:val="00862ABB"/>
    <w:rsid w:val="00862B20"/>
    <w:rsid w:val="00862C39"/>
    <w:rsid w:val="00862E05"/>
    <w:rsid w:val="00863A47"/>
    <w:rsid w:val="0086413E"/>
    <w:rsid w:val="00864772"/>
    <w:rsid w:val="00864824"/>
    <w:rsid w:val="00864C2B"/>
    <w:rsid w:val="00866088"/>
    <w:rsid w:val="008662FD"/>
    <w:rsid w:val="008665F5"/>
    <w:rsid w:val="0086688B"/>
    <w:rsid w:val="00867AB6"/>
    <w:rsid w:val="0087052A"/>
    <w:rsid w:val="00870537"/>
    <w:rsid w:val="008706B8"/>
    <w:rsid w:val="00871445"/>
    <w:rsid w:val="00872B27"/>
    <w:rsid w:val="00873141"/>
    <w:rsid w:val="00873AB5"/>
    <w:rsid w:val="00873EEC"/>
    <w:rsid w:val="00873EFA"/>
    <w:rsid w:val="0087440A"/>
    <w:rsid w:val="00874B03"/>
    <w:rsid w:val="00874D51"/>
    <w:rsid w:val="00874DF0"/>
    <w:rsid w:val="008753C0"/>
    <w:rsid w:val="008762EE"/>
    <w:rsid w:val="008771D6"/>
    <w:rsid w:val="00877227"/>
    <w:rsid w:val="00877581"/>
    <w:rsid w:val="00877A6F"/>
    <w:rsid w:val="00877C8F"/>
    <w:rsid w:val="00880B58"/>
    <w:rsid w:val="008812E0"/>
    <w:rsid w:val="0088143B"/>
    <w:rsid w:val="008815D5"/>
    <w:rsid w:val="00881F10"/>
    <w:rsid w:val="00882B3D"/>
    <w:rsid w:val="00882F65"/>
    <w:rsid w:val="00883877"/>
    <w:rsid w:val="008839DF"/>
    <w:rsid w:val="00883C54"/>
    <w:rsid w:val="008856E8"/>
    <w:rsid w:val="00885723"/>
    <w:rsid w:val="008857E5"/>
    <w:rsid w:val="00885CB4"/>
    <w:rsid w:val="00885D6E"/>
    <w:rsid w:val="00885DB8"/>
    <w:rsid w:val="00886401"/>
    <w:rsid w:val="00886C98"/>
    <w:rsid w:val="00886F69"/>
    <w:rsid w:val="0088787C"/>
    <w:rsid w:val="00887D7E"/>
    <w:rsid w:val="00887E8C"/>
    <w:rsid w:val="0089045A"/>
    <w:rsid w:val="008908A9"/>
    <w:rsid w:val="0089193E"/>
    <w:rsid w:val="00891AB6"/>
    <w:rsid w:val="00891FC2"/>
    <w:rsid w:val="008921D1"/>
    <w:rsid w:val="00892225"/>
    <w:rsid w:val="008922ED"/>
    <w:rsid w:val="00892318"/>
    <w:rsid w:val="00892583"/>
    <w:rsid w:val="00893403"/>
    <w:rsid w:val="00893520"/>
    <w:rsid w:val="00893C7F"/>
    <w:rsid w:val="00894444"/>
    <w:rsid w:val="00894CA4"/>
    <w:rsid w:val="008957EC"/>
    <w:rsid w:val="00895A25"/>
    <w:rsid w:val="00895DE7"/>
    <w:rsid w:val="00895E5A"/>
    <w:rsid w:val="00896352"/>
    <w:rsid w:val="00896E9F"/>
    <w:rsid w:val="00897150"/>
    <w:rsid w:val="00897F86"/>
    <w:rsid w:val="00897FC7"/>
    <w:rsid w:val="008A094D"/>
    <w:rsid w:val="008A0AB6"/>
    <w:rsid w:val="008A0E94"/>
    <w:rsid w:val="008A0FBC"/>
    <w:rsid w:val="008A140F"/>
    <w:rsid w:val="008A2097"/>
    <w:rsid w:val="008A2132"/>
    <w:rsid w:val="008A3040"/>
    <w:rsid w:val="008A34F9"/>
    <w:rsid w:val="008A4030"/>
    <w:rsid w:val="008A4326"/>
    <w:rsid w:val="008A5166"/>
    <w:rsid w:val="008A5179"/>
    <w:rsid w:val="008A538B"/>
    <w:rsid w:val="008A53BD"/>
    <w:rsid w:val="008A5E13"/>
    <w:rsid w:val="008A5E73"/>
    <w:rsid w:val="008A6574"/>
    <w:rsid w:val="008A69F1"/>
    <w:rsid w:val="008A6F77"/>
    <w:rsid w:val="008A72E9"/>
    <w:rsid w:val="008A7932"/>
    <w:rsid w:val="008B0218"/>
    <w:rsid w:val="008B1955"/>
    <w:rsid w:val="008B20B0"/>
    <w:rsid w:val="008B230A"/>
    <w:rsid w:val="008B246E"/>
    <w:rsid w:val="008B27AA"/>
    <w:rsid w:val="008B2E6D"/>
    <w:rsid w:val="008B335E"/>
    <w:rsid w:val="008B35AF"/>
    <w:rsid w:val="008B41A8"/>
    <w:rsid w:val="008B4649"/>
    <w:rsid w:val="008B4BA4"/>
    <w:rsid w:val="008B4D3C"/>
    <w:rsid w:val="008B668E"/>
    <w:rsid w:val="008B74B1"/>
    <w:rsid w:val="008B7516"/>
    <w:rsid w:val="008B7A67"/>
    <w:rsid w:val="008C0316"/>
    <w:rsid w:val="008C049F"/>
    <w:rsid w:val="008C0895"/>
    <w:rsid w:val="008C1DB6"/>
    <w:rsid w:val="008C1DF6"/>
    <w:rsid w:val="008C21CC"/>
    <w:rsid w:val="008C249A"/>
    <w:rsid w:val="008C277B"/>
    <w:rsid w:val="008C2A33"/>
    <w:rsid w:val="008C37A4"/>
    <w:rsid w:val="008C3FA3"/>
    <w:rsid w:val="008C496E"/>
    <w:rsid w:val="008C49B2"/>
    <w:rsid w:val="008C4ABC"/>
    <w:rsid w:val="008C5BA8"/>
    <w:rsid w:val="008C5D09"/>
    <w:rsid w:val="008C68BF"/>
    <w:rsid w:val="008C7B2F"/>
    <w:rsid w:val="008D05F4"/>
    <w:rsid w:val="008D0647"/>
    <w:rsid w:val="008D0DC1"/>
    <w:rsid w:val="008D101C"/>
    <w:rsid w:val="008D156B"/>
    <w:rsid w:val="008D1C8E"/>
    <w:rsid w:val="008D2934"/>
    <w:rsid w:val="008D312C"/>
    <w:rsid w:val="008D3E57"/>
    <w:rsid w:val="008D3F76"/>
    <w:rsid w:val="008D460C"/>
    <w:rsid w:val="008D4D86"/>
    <w:rsid w:val="008D4F8C"/>
    <w:rsid w:val="008D4FC5"/>
    <w:rsid w:val="008D59F2"/>
    <w:rsid w:val="008D6726"/>
    <w:rsid w:val="008D74DE"/>
    <w:rsid w:val="008E04A0"/>
    <w:rsid w:val="008E0A5B"/>
    <w:rsid w:val="008E0E0D"/>
    <w:rsid w:val="008E0FE7"/>
    <w:rsid w:val="008E10B0"/>
    <w:rsid w:val="008E17B9"/>
    <w:rsid w:val="008E1A61"/>
    <w:rsid w:val="008E1CD6"/>
    <w:rsid w:val="008E2648"/>
    <w:rsid w:val="008E3570"/>
    <w:rsid w:val="008E4678"/>
    <w:rsid w:val="008E4B7E"/>
    <w:rsid w:val="008E5620"/>
    <w:rsid w:val="008E63B0"/>
    <w:rsid w:val="008E79E9"/>
    <w:rsid w:val="008E7C4B"/>
    <w:rsid w:val="008F02B6"/>
    <w:rsid w:val="008F04D7"/>
    <w:rsid w:val="008F16CA"/>
    <w:rsid w:val="008F24D5"/>
    <w:rsid w:val="008F2689"/>
    <w:rsid w:val="008F2941"/>
    <w:rsid w:val="008F2B95"/>
    <w:rsid w:val="008F3296"/>
    <w:rsid w:val="008F3750"/>
    <w:rsid w:val="008F3BCE"/>
    <w:rsid w:val="008F421A"/>
    <w:rsid w:val="008F4D7A"/>
    <w:rsid w:val="008F5049"/>
    <w:rsid w:val="008F5347"/>
    <w:rsid w:val="008F5808"/>
    <w:rsid w:val="008F58F4"/>
    <w:rsid w:val="008F61D1"/>
    <w:rsid w:val="008F6BF1"/>
    <w:rsid w:val="008F751C"/>
    <w:rsid w:val="008F7CA5"/>
    <w:rsid w:val="00900592"/>
    <w:rsid w:val="0090087D"/>
    <w:rsid w:val="00900B59"/>
    <w:rsid w:val="00900EDA"/>
    <w:rsid w:val="00900EE0"/>
    <w:rsid w:val="009019C1"/>
    <w:rsid w:val="00902468"/>
    <w:rsid w:val="009029BA"/>
    <w:rsid w:val="00903261"/>
    <w:rsid w:val="00904F88"/>
    <w:rsid w:val="009053D3"/>
    <w:rsid w:val="00906BC0"/>
    <w:rsid w:val="0090784A"/>
    <w:rsid w:val="00907C9D"/>
    <w:rsid w:val="00910149"/>
    <w:rsid w:val="00910571"/>
    <w:rsid w:val="0091063F"/>
    <w:rsid w:val="00910D84"/>
    <w:rsid w:val="009110F6"/>
    <w:rsid w:val="00911100"/>
    <w:rsid w:val="00912DEC"/>
    <w:rsid w:val="009137E6"/>
    <w:rsid w:val="00913A8D"/>
    <w:rsid w:val="00913AF1"/>
    <w:rsid w:val="00913B16"/>
    <w:rsid w:val="00914C02"/>
    <w:rsid w:val="00914C4F"/>
    <w:rsid w:val="00914F13"/>
    <w:rsid w:val="009154E4"/>
    <w:rsid w:val="0091573E"/>
    <w:rsid w:val="0091595B"/>
    <w:rsid w:val="00915C98"/>
    <w:rsid w:val="0091620F"/>
    <w:rsid w:val="00916A23"/>
    <w:rsid w:val="00917B37"/>
    <w:rsid w:val="00917EF6"/>
    <w:rsid w:val="009200DA"/>
    <w:rsid w:val="0092064C"/>
    <w:rsid w:val="009219D2"/>
    <w:rsid w:val="00922099"/>
    <w:rsid w:val="009225B8"/>
    <w:rsid w:val="00923036"/>
    <w:rsid w:val="009239D2"/>
    <w:rsid w:val="00923CD8"/>
    <w:rsid w:val="0092414A"/>
    <w:rsid w:val="00924FA9"/>
    <w:rsid w:val="00925414"/>
    <w:rsid w:val="0092570A"/>
    <w:rsid w:val="00926387"/>
    <w:rsid w:val="009271AB"/>
    <w:rsid w:val="009274A8"/>
    <w:rsid w:val="00930CBA"/>
    <w:rsid w:val="00930D66"/>
    <w:rsid w:val="00931483"/>
    <w:rsid w:val="00931879"/>
    <w:rsid w:val="00932B8D"/>
    <w:rsid w:val="00932E90"/>
    <w:rsid w:val="0093308B"/>
    <w:rsid w:val="009342E8"/>
    <w:rsid w:val="0093460C"/>
    <w:rsid w:val="009349FF"/>
    <w:rsid w:val="00934AF3"/>
    <w:rsid w:val="009354B9"/>
    <w:rsid w:val="0093573D"/>
    <w:rsid w:val="00936F75"/>
    <w:rsid w:val="00937220"/>
    <w:rsid w:val="00937238"/>
    <w:rsid w:val="00937A4A"/>
    <w:rsid w:val="00937C98"/>
    <w:rsid w:val="009400EE"/>
    <w:rsid w:val="00940CF3"/>
    <w:rsid w:val="009410F0"/>
    <w:rsid w:val="0094150D"/>
    <w:rsid w:val="00941E2A"/>
    <w:rsid w:val="009425FD"/>
    <w:rsid w:val="00942994"/>
    <w:rsid w:val="00942C63"/>
    <w:rsid w:val="009432FC"/>
    <w:rsid w:val="00944908"/>
    <w:rsid w:val="009449B1"/>
    <w:rsid w:val="009451E5"/>
    <w:rsid w:val="0094529D"/>
    <w:rsid w:val="00945A41"/>
    <w:rsid w:val="00946187"/>
    <w:rsid w:val="009463D4"/>
    <w:rsid w:val="009464C0"/>
    <w:rsid w:val="009466D9"/>
    <w:rsid w:val="00946A84"/>
    <w:rsid w:val="009476C5"/>
    <w:rsid w:val="00947D4E"/>
    <w:rsid w:val="0095101B"/>
    <w:rsid w:val="009510D0"/>
    <w:rsid w:val="0095135A"/>
    <w:rsid w:val="009515D3"/>
    <w:rsid w:val="009518A5"/>
    <w:rsid w:val="00951B29"/>
    <w:rsid w:val="00951C26"/>
    <w:rsid w:val="00951EBC"/>
    <w:rsid w:val="00951FAD"/>
    <w:rsid w:val="0095227A"/>
    <w:rsid w:val="00952423"/>
    <w:rsid w:val="00952BFA"/>
    <w:rsid w:val="00952E76"/>
    <w:rsid w:val="009532B2"/>
    <w:rsid w:val="0095339D"/>
    <w:rsid w:val="0095342D"/>
    <w:rsid w:val="00953DDC"/>
    <w:rsid w:val="009544A8"/>
    <w:rsid w:val="009550B5"/>
    <w:rsid w:val="0095551D"/>
    <w:rsid w:val="0095632B"/>
    <w:rsid w:val="00956E15"/>
    <w:rsid w:val="009570FF"/>
    <w:rsid w:val="00960171"/>
    <w:rsid w:val="0096021F"/>
    <w:rsid w:val="00960BD2"/>
    <w:rsid w:val="00960BD7"/>
    <w:rsid w:val="00960DF5"/>
    <w:rsid w:val="00961613"/>
    <w:rsid w:val="00961DF7"/>
    <w:rsid w:val="009624D8"/>
    <w:rsid w:val="00962FDD"/>
    <w:rsid w:val="0096306E"/>
    <w:rsid w:val="009633E7"/>
    <w:rsid w:val="009635D9"/>
    <w:rsid w:val="009637AE"/>
    <w:rsid w:val="009638BA"/>
    <w:rsid w:val="00963E77"/>
    <w:rsid w:val="0096417F"/>
    <w:rsid w:val="009643AF"/>
    <w:rsid w:val="009645D7"/>
    <w:rsid w:val="00964BDC"/>
    <w:rsid w:val="00965609"/>
    <w:rsid w:val="00965F12"/>
    <w:rsid w:val="0096664E"/>
    <w:rsid w:val="00966A51"/>
    <w:rsid w:val="00966B4D"/>
    <w:rsid w:val="00966B58"/>
    <w:rsid w:val="00967394"/>
    <w:rsid w:val="00967516"/>
    <w:rsid w:val="0096755E"/>
    <w:rsid w:val="0097009A"/>
    <w:rsid w:val="009702FE"/>
    <w:rsid w:val="00970496"/>
    <w:rsid w:val="0097074F"/>
    <w:rsid w:val="00970CB8"/>
    <w:rsid w:val="009712EB"/>
    <w:rsid w:val="009719CA"/>
    <w:rsid w:val="009719FF"/>
    <w:rsid w:val="00971EC8"/>
    <w:rsid w:val="00972B0B"/>
    <w:rsid w:val="00972F73"/>
    <w:rsid w:val="009731D6"/>
    <w:rsid w:val="0097382A"/>
    <w:rsid w:val="009739D7"/>
    <w:rsid w:val="00973AC2"/>
    <w:rsid w:val="00973D6E"/>
    <w:rsid w:val="0097453E"/>
    <w:rsid w:val="00974642"/>
    <w:rsid w:val="00974A1D"/>
    <w:rsid w:val="009753BD"/>
    <w:rsid w:val="00975939"/>
    <w:rsid w:val="00975A97"/>
    <w:rsid w:val="00975C3C"/>
    <w:rsid w:val="00975F07"/>
    <w:rsid w:val="0097635C"/>
    <w:rsid w:val="0097652B"/>
    <w:rsid w:val="00976629"/>
    <w:rsid w:val="00976744"/>
    <w:rsid w:val="009767DE"/>
    <w:rsid w:val="0097767D"/>
    <w:rsid w:val="00980D75"/>
    <w:rsid w:val="00981785"/>
    <w:rsid w:val="00982378"/>
    <w:rsid w:val="00982501"/>
    <w:rsid w:val="009825D9"/>
    <w:rsid w:val="009838D6"/>
    <w:rsid w:val="00983D23"/>
    <w:rsid w:val="009854EF"/>
    <w:rsid w:val="00985558"/>
    <w:rsid w:val="00986621"/>
    <w:rsid w:val="0098668B"/>
    <w:rsid w:val="009867F3"/>
    <w:rsid w:val="009868BF"/>
    <w:rsid w:val="00986B27"/>
    <w:rsid w:val="00986C3C"/>
    <w:rsid w:val="00986C7F"/>
    <w:rsid w:val="009871FD"/>
    <w:rsid w:val="009877C5"/>
    <w:rsid w:val="00987C71"/>
    <w:rsid w:val="00990573"/>
    <w:rsid w:val="0099130A"/>
    <w:rsid w:val="00991A57"/>
    <w:rsid w:val="00991F15"/>
    <w:rsid w:val="0099224D"/>
    <w:rsid w:val="0099238B"/>
    <w:rsid w:val="00992651"/>
    <w:rsid w:val="00992674"/>
    <w:rsid w:val="009926AE"/>
    <w:rsid w:val="00992E22"/>
    <w:rsid w:val="00993138"/>
    <w:rsid w:val="0099407B"/>
    <w:rsid w:val="009945F1"/>
    <w:rsid w:val="00995EC0"/>
    <w:rsid w:val="009961B0"/>
    <w:rsid w:val="0099689D"/>
    <w:rsid w:val="009968E0"/>
    <w:rsid w:val="00996CC1"/>
    <w:rsid w:val="00996D8B"/>
    <w:rsid w:val="0099716C"/>
    <w:rsid w:val="00997755"/>
    <w:rsid w:val="009A032B"/>
    <w:rsid w:val="009A0AB2"/>
    <w:rsid w:val="009A2266"/>
    <w:rsid w:val="009A27B7"/>
    <w:rsid w:val="009A2836"/>
    <w:rsid w:val="009A28DF"/>
    <w:rsid w:val="009A2B75"/>
    <w:rsid w:val="009A32DF"/>
    <w:rsid w:val="009A3AAA"/>
    <w:rsid w:val="009A419C"/>
    <w:rsid w:val="009A4321"/>
    <w:rsid w:val="009A4611"/>
    <w:rsid w:val="009A517E"/>
    <w:rsid w:val="009A60FB"/>
    <w:rsid w:val="009A6112"/>
    <w:rsid w:val="009A6FD2"/>
    <w:rsid w:val="009A7C7F"/>
    <w:rsid w:val="009B04B0"/>
    <w:rsid w:val="009B05B6"/>
    <w:rsid w:val="009B06C3"/>
    <w:rsid w:val="009B07A9"/>
    <w:rsid w:val="009B1254"/>
    <w:rsid w:val="009B1A72"/>
    <w:rsid w:val="009B23D7"/>
    <w:rsid w:val="009B2B6B"/>
    <w:rsid w:val="009B2CEC"/>
    <w:rsid w:val="009B37A1"/>
    <w:rsid w:val="009B3943"/>
    <w:rsid w:val="009B511E"/>
    <w:rsid w:val="009B5616"/>
    <w:rsid w:val="009B59EE"/>
    <w:rsid w:val="009B6157"/>
    <w:rsid w:val="009B61E7"/>
    <w:rsid w:val="009B66A0"/>
    <w:rsid w:val="009B770E"/>
    <w:rsid w:val="009B7A01"/>
    <w:rsid w:val="009B7F1A"/>
    <w:rsid w:val="009B8B23"/>
    <w:rsid w:val="009C08DA"/>
    <w:rsid w:val="009C09F3"/>
    <w:rsid w:val="009C0DD9"/>
    <w:rsid w:val="009C1334"/>
    <w:rsid w:val="009C1487"/>
    <w:rsid w:val="009C1DBA"/>
    <w:rsid w:val="009C1DFA"/>
    <w:rsid w:val="009C266A"/>
    <w:rsid w:val="009C26CE"/>
    <w:rsid w:val="009C2768"/>
    <w:rsid w:val="009C36C5"/>
    <w:rsid w:val="009C3DF5"/>
    <w:rsid w:val="009C45F4"/>
    <w:rsid w:val="009C490C"/>
    <w:rsid w:val="009C496F"/>
    <w:rsid w:val="009C4B21"/>
    <w:rsid w:val="009C5919"/>
    <w:rsid w:val="009C5B10"/>
    <w:rsid w:val="009C5C7A"/>
    <w:rsid w:val="009C5E38"/>
    <w:rsid w:val="009C5F29"/>
    <w:rsid w:val="009C6B06"/>
    <w:rsid w:val="009C729C"/>
    <w:rsid w:val="009C78A1"/>
    <w:rsid w:val="009C791B"/>
    <w:rsid w:val="009C7A0A"/>
    <w:rsid w:val="009C7B65"/>
    <w:rsid w:val="009C7D39"/>
    <w:rsid w:val="009C7E6D"/>
    <w:rsid w:val="009D0434"/>
    <w:rsid w:val="009D0565"/>
    <w:rsid w:val="009D0B87"/>
    <w:rsid w:val="009D10CA"/>
    <w:rsid w:val="009D19C6"/>
    <w:rsid w:val="009D22A1"/>
    <w:rsid w:val="009D279B"/>
    <w:rsid w:val="009D27AB"/>
    <w:rsid w:val="009D40F3"/>
    <w:rsid w:val="009D4333"/>
    <w:rsid w:val="009D447A"/>
    <w:rsid w:val="009D4C33"/>
    <w:rsid w:val="009D5331"/>
    <w:rsid w:val="009D6076"/>
    <w:rsid w:val="009D68FF"/>
    <w:rsid w:val="009D6AE6"/>
    <w:rsid w:val="009E00C4"/>
    <w:rsid w:val="009E0FCE"/>
    <w:rsid w:val="009E1409"/>
    <w:rsid w:val="009E1769"/>
    <w:rsid w:val="009E1913"/>
    <w:rsid w:val="009E1D18"/>
    <w:rsid w:val="009E1DD7"/>
    <w:rsid w:val="009E1F85"/>
    <w:rsid w:val="009E22BB"/>
    <w:rsid w:val="009E2343"/>
    <w:rsid w:val="009E2621"/>
    <w:rsid w:val="009E280E"/>
    <w:rsid w:val="009E2970"/>
    <w:rsid w:val="009E2A58"/>
    <w:rsid w:val="009E2DA5"/>
    <w:rsid w:val="009E2F7C"/>
    <w:rsid w:val="009E3809"/>
    <w:rsid w:val="009E4432"/>
    <w:rsid w:val="009E5178"/>
    <w:rsid w:val="009E59AF"/>
    <w:rsid w:val="009E59E5"/>
    <w:rsid w:val="009E5E3A"/>
    <w:rsid w:val="009E691A"/>
    <w:rsid w:val="009E79CC"/>
    <w:rsid w:val="009E7D6B"/>
    <w:rsid w:val="009F070B"/>
    <w:rsid w:val="009F0839"/>
    <w:rsid w:val="009F0E1C"/>
    <w:rsid w:val="009F181F"/>
    <w:rsid w:val="009F1C1E"/>
    <w:rsid w:val="009F2495"/>
    <w:rsid w:val="009F24F1"/>
    <w:rsid w:val="009F33D0"/>
    <w:rsid w:val="009F392C"/>
    <w:rsid w:val="009F39E8"/>
    <w:rsid w:val="009F40FC"/>
    <w:rsid w:val="009F4504"/>
    <w:rsid w:val="009F49C0"/>
    <w:rsid w:val="009F4AD0"/>
    <w:rsid w:val="009F6385"/>
    <w:rsid w:val="009F6698"/>
    <w:rsid w:val="009F66D2"/>
    <w:rsid w:val="009F68CD"/>
    <w:rsid w:val="009F693A"/>
    <w:rsid w:val="009F6A2A"/>
    <w:rsid w:val="009F7C79"/>
    <w:rsid w:val="009F7EE0"/>
    <w:rsid w:val="009F7F0F"/>
    <w:rsid w:val="00A0037A"/>
    <w:rsid w:val="00A004BE"/>
    <w:rsid w:val="00A00848"/>
    <w:rsid w:val="00A00BF3"/>
    <w:rsid w:val="00A00E86"/>
    <w:rsid w:val="00A0258B"/>
    <w:rsid w:val="00A032F3"/>
    <w:rsid w:val="00A0339A"/>
    <w:rsid w:val="00A037CC"/>
    <w:rsid w:val="00A03ABA"/>
    <w:rsid w:val="00A0465E"/>
    <w:rsid w:val="00A04752"/>
    <w:rsid w:val="00A04888"/>
    <w:rsid w:val="00A05181"/>
    <w:rsid w:val="00A054BB"/>
    <w:rsid w:val="00A059C7"/>
    <w:rsid w:val="00A05E7A"/>
    <w:rsid w:val="00A05FE4"/>
    <w:rsid w:val="00A062E6"/>
    <w:rsid w:val="00A10180"/>
    <w:rsid w:val="00A1019A"/>
    <w:rsid w:val="00A101C9"/>
    <w:rsid w:val="00A10755"/>
    <w:rsid w:val="00A10A3D"/>
    <w:rsid w:val="00A1175E"/>
    <w:rsid w:val="00A12DB3"/>
    <w:rsid w:val="00A1314B"/>
    <w:rsid w:val="00A138C3"/>
    <w:rsid w:val="00A13F02"/>
    <w:rsid w:val="00A153C4"/>
    <w:rsid w:val="00A155D9"/>
    <w:rsid w:val="00A15674"/>
    <w:rsid w:val="00A15845"/>
    <w:rsid w:val="00A15F9B"/>
    <w:rsid w:val="00A1693F"/>
    <w:rsid w:val="00A17102"/>
    <w:rsid w:val="00A1739A"/>
    <w:rsid w:val="00A17C2C"/>
    <w:rsid w:val="00A17CAA"/>
    <w:rsid w:val="00A20631"/>
    <w:rsid w:val="00A207A2"/>
    <w:rsid w:val="00A21090"/>
    <w:rsid w:val="00A211F8"/>
    <w:rsid w:val="00A2186C"/>
    <w:rsid w:val="00A21CCB"/>
    <w:rsid w:val="00A21CE6"/>
    <w:rsid w:val="00A21D2F"/>
    <w:rsid w:val="00A2200F"/>
    <w:rsid w:val="00A22594"/>
    <w:rsid w:val="00A22F4F"/>
    <w:rsid w:val="00A23177"/>
    <w:rsid w:val="00A23527"/>
    <w:rsid w:val="00A24474"/>
    <w:rsid w:val="00A24851"/>
    <w:rsid w:val="00A253C3"/>
    <w:rsid w:val="00A257D8"/>
    <w:rsid w:val="00A25CA8"/>
    <w:rsid w:val="00A26A66"/>
    <w:rsid w:val="00A26A8F"/>
    <w:rsid w:val="00A2711A"/>
    <w:rsid w:val="00A27269"/>
    <w:rsid w:val="00A27EA8"/>
    <w:rsid w:val="00A30054"/>
    <w:rsid w:val="00A3005D"/>
    <w:rsid w:val="00A300B1"/>
    <w:rsid w:val="00A3056A"/>
    <w:rsid w:val="00A30628"/>
    <w:rsid w:val="00A30E2C"/>
    <w:rsid w:val="00A31564"/>
    <w:rsid w:val="00A319AF"/>
    <w:rsid w:val="00A31DF2"/>
    <w:rsid w:val="00A322DE"/>
    <w:rsid w:val="00A329DB"/>
    <w:rsid w:val="00A32B02"/>
    <w:rsid w:val="00A32D2B"/>
    <w:rsid w:val="00A354A5"/>
    <w:rsid w:val="00A363F2"/>
    <w:rsid w:val="00A3694C"/>
    <w:rsid w:val="00A36B26"/>
    <w:rsid w:val="00A36D51"/>
    <w:rsid w:val="00A36E27"/>
    <w:rsid w:val="00A3750E"/>
    <w:rsid w:val="00A40654"/>
    <w:rsid w:val="00A40DA1"/>
    <w:rsid w:val="00A41034"/>
    <w:rsid w:val="00A41A34"/>
    <w:rsid w:val="00A42EE7"/>
    <w:rsid w:val="00A43237"/>
    <w:rsid w:val="00A4332F"/>
    <w:rsid w:val="00A43700"/>
    <w:rsid w:val="00A438E4"/>
    <w:rsid w:val="00A43B7F"/>
    <w:rsid w:val="00A44794"/>
    <w:rsid w:val="00A447BD"/>
    <w:rsid w:val="00A44A45"/>
    <w:rsid w:val="00A44BBF"/>
    <w:rsid w:val="00A44C49"/>
    <w:rsid w:val="00A45BCC"/>
    <w:rsid w:val="00A4693D"/>
    <w:rsid w:val="00A470AB"/>
    <w:rsid w:val="00A4717A"/>
    <w:rsid w:val="00A4727F"/>
    <w:rsid w:val="00A4742B"/>
    <w:rsid w:val="00A4795C"/>
    <w:rsid w:val="00A50A7F"/>
    <w:rsid w:val="00A5182F"/>
    <w:rsid w:val="00A51BA5"/>
    <w:rsid w:val="00A51E73"/>
    <w:rsid w:val="00A52326"/>
    <w:rsid w:val="00A52672"/>
    <w:rsid w:val="00A53299"/>
    <w:rsid w:val="00A532BD"/>
    <w:rsid w:val="00A55B5B"/>
    <w:rsid w:val="00A56AC3"/>
    <w:rsid w:val="00A56BEA"/>
    <w:rsid w:val="00A57241"/>
    <w:rsid w:val="00A6000C"/>
    <w:rsid w:val="00A60563"/>
    <w:rsid w:val="00A60564"/>
    <w:rsid w:val="00A6110C"/>
    <w:rsid w:val="00A61785"/>
    <w:rsid w:val="00A61E65"/>
    <w:rsid w:val="00A62120"/>
    <w:rsid w:val="00A62541"/>
    <w:rsid w:val="00A62B65"/>
    <w:rsid w:val="00A630EF"/>
    <w:rsid w:val="00A64F82"/>
    <w:rsid w:val="00A65453"/>
    <w:rsid w:val="00A65BC4"/>
    <w:rsid w:val="00A6608C"/>
    <w:rsid w:val="00A6645F"/>
    <w:rsid w:val="00A669D4"/>
    <w:rsid w:val="00A672C3"/>
    <w:rsid w:val="00A67749"/>
    <w:rsid w:val="00A67DFC"/>
    <w:rsid w:val="00A7018E"/>
    <w:rsid w:val="00A70726"/>
    <w:rsid w:val="00A70B42"/>
    <w:rsid w:val="00A70BF6"/>
    <w:rsid w:val="00A71382"/>
    <w:rsid w:val="00A71FB9"/>
    <w:rsid w:val="00A72262"/>
    <w:rsid w:val="00A73154"/>
    <w:rsid w:val="00A7394D"/>
    <w:rsid w:val="00A73A26"/>
    <w:rsid w:val="00A73DAD"/>
    <w:rsid w:val="00A74408"/>
    <w:rsid w:val="00A7454F"/>
    <w:rsid w:val="00A74760"/>
    <w:rsid w:val="00A74820"/>
    <w:rsid w:val="00A74822"/>
    <w:rsid w:val="00A749A0"/>
    <w:rsid w:val="00A74BBB"/>
    <w:rsid w:val="00A74E7A"/>
    <w:rsid w:val="00A75630"/>
    <w:rsid w:val="00A75D4D"/>
    <w:rsid w:val="00A75F47"/>
    <w:rsid w:val="00A762EB"/>
    <w:rsid w:val="00A76497"/>
    <w:rsid w:val="00A76522"/>
    <w:rsid w:val="00A765D3"/>
    <w:rsid w:val="00A76E0A"/>
    <w:rsid w:val="00A77918"/>
    <w:rsid w:val="00A8326F"/>
    <w:rsid w:val="00A83FA8"/>
    <w:rsid w:val="00A84384"/>
    <w:rsid w:val="00A8465A"/>
    <w:rsid w:val="00A8486F"/>
    <w:rsid w:val="00A84EF8"/>
    <w:rsid w:val="00A851AB"/>
    <w:rsid w:val="00A859B0"/>
    <w:rsid w:val="00A86C54"/>
    <w:rsid w:val="00A871A8"/>
    <w:rsid w:val="00A90A07"/>
    <w:rsid w:val="00A90D6A"/>
    <w:rsid w:val="00A919FB"/>
    <w:rsid w:val="00A91CBB"/>
    <w:rsid w:val="00A926D0"/>
    <w:rsid w:val="00A9283B"/>
    <w:rsid w:val="00A92AE3"/>
    <w:rsid w:val="00A9314D"/>
    <w:rsid w:val="00A93853"/>
    <w:rsid w:val="00A942FC"/>
    <w:rsid w:val="00A94367"/>
    <w:rsid w:val="00A94854"/>
    <w:rsid w:val="00A94A7E"/>
    <w:rsid w:val="00A9543F"/>
    <w:rsid w:val="00A95620"/>
    <w:rsid w:val="00A95ABD"/>
    <w:rsid w:val="00A960D8"/>
    <w:rsid w:val="00A9642F"/>
    <w:rsid w:val="00A96AD0"/>
    <w:rsid w:val="00A96C6D"/>
    <w:rsid w:val="00A96CB5"/>
    <w:rsid w:val="00A96E8C"/>
    <w:rsid w:val="00A97485"/>
    <w:rsid w:val="00A97E92"/>
    <w:rsid w:val="00AA0501"/>
    <w:rsid w:val="00AA090E"/>
    <w:rsid w:val="00AA0929"/>
    <w:rsid w:val="00AA0F2E"/>
    <w:rsid w:val="00AA1338"/>
    <w:rsid w:val="00AA13BD"/>
    <w:rsid w:val="00AA158E"/>
    <w:rsid w:val="00AA1B4A"/>
    <w:rsid w:val="00AA1FF7"/>
    <w:rsid w:val="00AA203E"/>
    <w:rsid w:val="00AA2608"/>
    <w:rsid w:val="00AA2700"/>
    <w:rsid w:val="00AA2CB6"/>
    <w:rsid w:val="00AA3A0A"/>
    <w:rsid w:val="00AA3B51"/>
    <w:rsid w:val="00AA51B3"/>
    <w:rsid w:val="00AA532F"/>
    <w:rsid w:val="00AA547B"/>
    <w:rsid w:val="00AA569A"/>
    <w:rsid w:val="00AA5790"/>
    <w:rsid w:val="00AA5A0F"/>
    <w:rsid w:val="00AA5C6D"/>
    <w:rsid w:val="00AA62D5"/>
    <w:rsid w:val="00AA74AF"/>
    <w:rsid w:val="00AA77EB"/>
    <w:rsid w:val="00AB0963"/>
    <w:rsid w:val="00AB0EDE"/>
    <w:rsid w:val="00AB1239"/>
    <w:rsid w:val="00AB1FB7"/>
    <w:rsid w:val="00AB2644"/>
    <w:rsid w:val="00AB3075"/>
    <w:rsid w:val="00AB3BD2"/>
    <w:rsid w:val="00AB3E54"/>
    <w:rsid w:val="00AB4365"/>
    <w:rsid w:val="00AB45F4"/>
    <w:rsid w:val="00AB4608"/>
    <w:rsid w:val="00AB4B01"/>
    <w:rsid w:val="00AB4B35"/>
    <w:rsid w:val="00AB4D7E"/>
    <w:rsid w:val="00AB5494"/>
    <w:rsid w:val="00AB5576"/>
    <w:rsid w:val="00AB6314"/>
    <w:rsid w:val="00AB6D0B"/>
    <w:rsid w:val="00AB6FDD"/>
    <w:rsid w:val="00AB7CD3"/>
    <w:rsid w:val="00AC032B"/>
    <w:rsid w:val="00AC096E"/>
    <w:rsid w:val="00AC1186"/>
    <w:rsid w:val="00AC1690"/>
    <w:rsid w:val="00AC1CE3"/>
    <w:rsid w:val="00AC23C9"/>
    <w:rsid w:val="00AC2C4E"/>
    <w:rsid w:val="00AC3421"/>
    <w:rsid w:val="00AC3CA0"/>
    <w:rsid w:val="00AC561A"/>
    <w:rsid w:val="00AC62EC"/>
    <w:rsid w:val="00AC69F7"/>
    <w:rsid w:val="00AC7C56"/>
    <w:rsid w:val="00AD0084"/>
    <w:rsid w:val="00AD0412"/>
    <w:rsid w:val="00AD07AD"/>
    <w:rsid w:val="00AD0947"/>
    <w:rsid w:val="00AD0C25"/>
    <w:rsid w:val="00AD0F83"/>
    <w:rsid w:val="00AD0F92"/>
    <w:rsid w:val="00AD0FAE"/>
    <w:rsid w:val="00AD14AD"/>
    <w:rsid w:val="00AD162E"/>
    <w:rsid w:val="00AD1660"/>
    <w:rsid w:val="00AD18EF"/>
    <w:rsid w:val="00AD1FD7"/>
    <w:rsid w:val="00AD3293"/>
    <w:rsid w:val="00AD379B"/>
    <w:rsid w:val="00AD4C15"/>
    <w:rsid w:val="00AD4E20"/>
    <w:rsid w:val="00AD5A25"/>
    <w:rsid w:val="00AD5AEC"/>
    <w:rsid w:val="00AD613E"/>
    <w:rsid w:val="00AD624C"/>
    <w:rsid w:val="00AD7376"/>
    <w:rsid w:val="00AD73D3"/>
    <w:rsid w:val="00AD77C5"/>
    <w:rsid w:val="00AD7D09"/>
    <w:rsid w:val="00AE022D"/>
    <w:rsid w:val="00AE08A2"/>
    <w:rsid w:val="00AE141F"/>
    <w:rsid w:val="00AE1A73"/>
    <w:rsid w:val="00AE29F8"/>
    <w:rsid w:val="00AE2A93"/>
    <w:rsid w:val="00AE2C16"/>
    <w:rsid w:val="00AE30C6"/>
    <w:rsid w:val="00AE3D98"/>
    <w:rsid w:val="00AE438A"/>
    <w:rsid w:val="00AE45BC"/>
    <w:rsid w:val="00AE4AC9"/>
    <w:rsid w:val="00AE5F38"/>
    <w:rsid w:val="00AE5FE2"/>
    <w:rsid w:val="00AE61E1"/>
    <w:rsid w:val="00AE6327"/>
    <w:rsid w:val="00AE75B7"/>
    <w:rsid w:val="00AE7965"/>
    <w:rsid w:val="00AE796B"/>
    <w:rsid w:val="00AF035A"/>
    <w:rsid w:val="00AF1158"/>
    <w:rsid w:val="00AF1809"/>
    <w:rsid w:val="00AF32FE"/>
    <w:rsid w:val="00AF3B01"/>
    <w:rsid w:val="00AF3D4B"/>
    <w:rsid w:val="00AF4909"/>
    <w:rsid w:val="00AF4946"/>
    <w:rsid w:val="00AF580D"/>
    <w:rsid w:val="00AF67D8"/>
    <w:rsid w:val="00AF6B03"/>
    <w:rsid w:val="00AF6C4B"/>
    <w:rsid w:val="00AF767A"/>
    <w:rsid w:val="00AF7912"/>
    <w:rsid w:val="00B00218"/>
    <w:rsid w:val="00B0085D"/>
    <w:rsid w:val="00B008A5"/>
    <w:rsid w:val="00B00EC9"/>
    <w:rsid w:val="00B0204E"/>
    <w:rsid w:val="00B02464"/>
    <w:rsid w:val="00B02764"/>
    <w:rsid w:val="00B02B5C"/>
    <w:rsid w:val="00B02D23"/>
    <w:rsid w:val="00B030F3"/>
    <w:rsid w:val="00B031AE"/>
    <w:rsid w:val="00B03688"/>
    <w:rsid w:val="00B045DB"/>
    <w:rsid w:val="00B04916"/>
    <w:rsid w:val="00B04E67"/>
    <w:rsid w:val="00B04EFA"/>
    <w:rsid w:val="00B0509E"/>
    <w:rsid w:val="00B05128"/>
    <w:rsid w:val="00B053A0"/>
    <w:rsid w:val="00B05699"/>
    <w:rsid w:val="00B05B0D"/>
    <w:rsid w:val="00B05E00"/>
    <w:rsid w:val="00B05FF9"/>
    <w:rsid w:val="00B0636A"/>
    <w:rsid w:val="00B06544"/>
    <w:rsid w:val="00B068C4"/>
    <w:rsid w:val="00B07390"/>
    <w:rsid w:val="00B073D5"/>
    <w:rsid w:val="00B07A1A"/>
    <w:rsid w:val="00B100AE"/>
    <w:rsid w:val="00B10515"/>
    <w:rsid w:val="00B109D4"/>
    <w:rsid w:val="00B10A5E"/>
    <w:rsid w:val="00B10F70"/>
    <w:rsid w:val="00B11451"/>
    <w:rsid w:val="00B11701"/>
    <w:rsid w:val="00B12090"/>
    <w:rsid w:val="00B12678"/>
    <w:rsid w:val="00B126E6"/>
    <w:rsid w:val="00B12A8E"/>
    <w:rsid w:val="00B12BB2"/>
    <w:rsid w:val="00B13242"/>
    <w:rsid w:val="00B135E3"/>
    <w:rsid w:val="00B137D5"/>
    <w:rsid w:val="00B13D7A"/>
    <w:rsid w:val="00B14275"/>
    <w:rsid w:val="00B14419"/>
    <w:rsid w:val="00B1488C"/>
    <w:rsid w:val="00B156B4"/>
    <w:rsid w:val="00B15876"/>
    <w:rsid w:val="00B15AD4"/>
    <w:rsid w:val="00B17422"/>
    <w:rsid w:val="00B17472"/>
    <w:rsid w:val="00B20D2F"/>
    <w:rsid w:val="00B21097"/>
    <w:rsid w:val="00B2171D"/>
    <w:rsid w:val="00B21D7C"/>
    <w:rsid w:val="00B22705"/>
    <w:rsid w:val="00B231B3"/>
    <w:rsid w:val="00B24951"/>
    <w:rsid w:val="00B24CC4"/>
    <w:rsid w:val="00B255DD"/>
    <w:rsid w:val="00B25C43"/>
    <w:rsid w:val="00B25EFF"/>
    <w:rsid w:val="00B26588"/>
    <w:rsid w:val="00B27A9C"/>
    <w:rsid w:val="00B27E46"/>
    <w:rsid w:val="00B30358"/>
    <w:rsid w:val="00B30AB4"/>
    <w:rsid w:val="00B30C5F"/>
    <w:rsid w:val="00B30ED5"/>
    <w:rsid w:val="00B3139E"/>
    <w:rsid w:val="00B31871"/>
    <w:rsid w:val="00B32080"/>
    <w:rsid w:val="00B32C9F"/>
    <w:rsid w:val="00B3310F"/>
    <w:rsid w:val="00B3313F"/>
    <w:rsid w:val="00B343B8"/>
    <w:rsid w:val="00B34791"/>
    <w:rsid w:val="00B3493B"/>
    <w:rsid w:val="00B36CFF"/>
    <w:rsid w:val="00B36F2E"/>
    <w:rsid w:val="00B371BB"/>
    <w:rsid w:val="00B376B3"/>
    <w:rsid w:val="00B404B1"/>
    <w:rsid w:val="00B41599"/>
    <w:rsid w:val="00B41743"/>
    <w:rsid w:val="00B417C8"/>
    <w:rsid w:val="00B422EA"/>
    <w:rsid w:val="00B4231E"/>
    <w:rsid w:val="00B423F2"/>
    <w:rsid w:val="00B42651"/>
    <w:rsid w:val="00B42C4E"/>
    <w:rsid w:val="00B430FD"/>
    <w:rsid w:val="00B4345D"/>
    <w:rsid w:val="00B44A5B"/>
    <w:rsid w:val="00B46324"/>
    <w:rsid w:val="00B46D60"/>
    <w:rsid w:val="00B47828"/>
    <w:rsid w:val="00B47A66"/>
    <w:rsid w:val="00B50190"/>
    <w:rsid w:val="00B5064A"/>
    <w:rsid w:val="00B508A0"/>
    <w:rsid w:val="00B50DBD"/>
    <w:rsid w:val="00B50EC1"/>
    <w:rsid w:val="00B5111D"/>
    <w:rsid w:val="00B5174D"/>
    <w:rsid w:val="00B519F8"/>
    <w:rsid w:val="00B51AB4"/>
    <w:rsid w:val="00B522CE"/>
    <w:rsid w:val="00B526D2"/>
    <w:rsid w:val="00B52A6A"/>
    <w:rsid w:val="00B52D36"/>
    <w:rsid w:val="00B53C5A"/>
    <w:rsid w:val="00B53EFD"/>
    <w:rsid w:val="00B544FE"/>
    <w:rsid w:val="00B54C1E"/>
    <w:rsid w:val="00B555F5"/>
    <w:rsid w:val="00B55835"/>
    <w:rsid w:val="00B5669F"/>
    <w:rsid w:val="00B60055"/>
    <w:rsid w:val="00B60533"/>
    <w:rsid w:val="00B607EA"/>
    <w:rsid w:val="00B6113E"/>
    <w:rsid w:val="00B63E34"/>
    <w:rsid w:val="00B63F9F"/>
    <w:rsid w:val="00B6417B"/>
    <w:rsid w:val="00B64DB7"/>
    <w:rsid w:val="00B64EC3"/>
    <w:rsid w:val="00B6608A"/>
    <w:rsid w:val="00B66A15"/>
    <w:rsid w:val="00B66BDF"/>
    <w:rsid w:val="00B67632"/>
    <w:rsid w:val="00B70218"/>
    <w:rsid w:val="00B70817"/>
    <w:rsid w:val="00B70844"/>
    <w:rsid w:val="00B70CB0"/>
    <w:rsid w:val="00B70E99"/>
    <w:rsid w:val="00B70EBF"/>
    <w:rsid w:val="00B71278"/>
    <w:rsid w:val="00B716E1"/>
    <w:rsid w:val="00B72414"/>
    <w:rsid w:val="00B7247D"/>
    <w:rsid w:val="00B73C04"/>
    <w:rsid w:val="00B73F2C"/>
    <w:rsid w:val="00B740FB"/>
    <w:rsid w:val="00B7585C"/>
    <w:rsid w:val="00B75D58"/>
    <w:rsid w:val="00B75F6C"/>
    <w:rsid w:val="00B77678"/>
    <w:rsid w:val="00B77A15"/>
    <w:rsid w:val="00B77DFE"/>
    <w:rsid w:val="00B77F81"/>
    <w:rsid w:val="00B8074A"/>
    <w:rsid w:val="00B80EF9"/>
    <w:rsid w:val="00B81340"/>
    <w:rsid w:val="00B81A6A"/>
    <w:rsid w:val="00B81BE9"/>
    <w:rsid w:val="00B81D59"/>
    <w:rsid w:val="00B82102"/>
    <w:rsid w:val="00B83E54"/>
    <w:rsid w:val="00B84130"/>
    <w:rsid w:val="00B84213"/>
    <w:rsid w:val="00B84F2B"/>
    <w:rsid w:val="00B85388"/>
    <w:rsid w:val="00B8539D"/>
    <w:rsid w:val="00B85647"/>
    <w:rsid w:val="00B86A95"/>
    <w:rsid w:val="00B90255"/>
    <w:rsid w:val="00B903A8"/>
    <w:rsid w:val="00B9049D"/>
    <w:rsid w:val="00B91123"/>
    <w:rsid w:val="00B922AE"/>
    <w:rsid w:val="00B926E6"/>
    <w:rsid w:val="00B928E7"/>
    <w:rsid w:val="00B92D13"/>
    <w:rsid w:val="00B941E8"/>
    <w:rsid w:val="00B94371"/>
    <w:rsid w:val="00B94518"/>
    <w:rsid w:val="00B9514E"/>
    <w:rsid w:val="00B95D18"/>
    <w:rsid w:val="00B95EDA"/>
    <w:rsid w:val="00B9600C"/>
    <w:rsid w:val="00B96112"/>
    <w:rsid w:val="00B9629D"/>
    <w:rsid w:val="00B962CE"/>
    <w:rsid w:val="00B9641F"/>
    <w:rsid w:val="00B965D4"/>
    <w:rsid w:val="00B97858"/>
    <w:rsid w:val="00BA1495"/>
    <w:rsid w:val="00BA1712"/>
    <w:rsid w:val="00BA1A08"/>
    <w:rsid w:val="00BA1DBE"/>
    <w:rsid w:val="00BA22DD"/>
    <w:rsid w:val="00BA3236"/>
    <w:rsid w:val="00BA46CE"/>
    <w:rsid w:val="00BA474D"/>
    <w:rsid w:val="00BA4E47"/>
    <w:rsid w:val="00BA4F23"/>
    <w:rsid w:val="00BA5765"/>
    <w:rsid w:val="00BA590A"/>
    <w:rsid w:val="00BA5CC4"/>
    <w:rsid w:val="00BA5E63"/>
    <w:rsid w:val="00BA620F"/>
    <w:rsid w:val="00BA62B8"/>
    <w:rsid w:val="00BA6392"/>
    <w:rsid w:val="00BA673A"/>
    <w:rsid w:val="00BA6E25"/>
    <w:rsid w:val="00BA716D"/>
    <w:rsid w:val="00BA7A4D"/>
    <w:rsid w:val="00BA7AE5"/>
    <w:rsid w:val="00BA7CAC"/>
    <w:rsid w:val="00BB0866"/>
    <w:rsid w:val="00BB0ED5"/>
    <w:rsid w:val="00BB1FDE"/>
    <w:rsid w:val="00BB27E6"/>
    <w:rsid w:val="00BB46B1"/>
    <w:rsid w:val="00BB4A61"/>
    <w:rsid w:val="00BB4AB0"/>
    <w:rsid w:val="00BB542B"/>
    <w:rsid w:val="00BB5741"/>
    <w:rsid w:val="00BB5A21"/>
    <w:rsid w:val="00BB5B90"/>
    <w:rsid w:val="00BB5C88"/>
    <w:rsid w:val="00BB5F2B"/>
    <w:rsid w:val="00BB6375"/>
    <w:rsid w:val="00BB6896"/>
    <w:rsid w:val="00BB71F0"/>
    <w:rsid w:val="00BB7495"/>
    <w:rsid w:val="00BC1C2E"/>
    <w:rsid w:val="00BC27E7"/>
    <w:rsid w:val="00BC3846"/>
    <w:rsid w:val="00BC3A32"/>
    <w:rsid w:val="00BC4DD8"/>
    <w:rsid w:val="00BC5122"/>
    <w:rsid w:val="00BC520B"/>
    <w:rsid w:val="00BC5496"/>
    <w:rsid w:val="00BC5581"/>
    <w:rsid w:val="00BC5E9B"/>
    <w:rsid w:val="00BC62C4"/>
    <w:rsid w:val="00BC64AE"/>
    <w:rsid w:val="00BC67ED"/>
    <w:rsid w:val="00BC707B"/>
    <w:rsid w:val="00BC727B"/>
    <w:rsid w:val="00BC7344"/>
    <w:rsid w:val="00BC7A2F"/>
    <w:rsid w:val="00BC7D02"/>
    <w:rsid w:val="00BD01DF"/>
    <w:rsid w:val="00BD0486"/>
    <w:rsid w:val="00BD072B"/>
    <w:rsid w:val="00BD1086"/>
    <w:rsid w:val="00BD1D96"/>
    <w:rsid w:val="00BD243C"/>
    <w:rsid w:val="00BD2B64"/>
    <w:rsid w:val="00BD303F"/>
    <w:rsid w:val="00BD32BC"/>
    <w:rsid w:val="00BD35D0"/>
    <w:rsid w:val="00BD3B30"/>
    <w:rsid w:val="00BD3B3F"/>
    <w:rsid w:val="00BD3F9E"/>
    <w:rsid w:val="00BD4C8A"/>
    <w:rsid w:val="00BD5857"/>
    <w:rsid w:val="00BD5A3D"/>
    <w:rsid w:val="00BD6166"/>
    <w:rsid w:val="00BD657E"/>
    <w:rsid w:val="00BD70F6"/>
    <w:rsid w:val="00BD740C"/>
    <w:rsid w:val="00BD7ABB"/>
    <w:rsid w:val="00BE09E6"/>
    <w:rsid w:val="00BE0E16"/>
    <w:rsid w:val="00BE1965"/>
    <w:rsid w:val="00BE2414"/>
    <w:rsid w:val="00BE2ED0"/>
    <w:rsid w:val="00BE39D7"/>
    <w:rsid w:val="00BE3B84"/>
    <w:rsid w:val="00BE3EEA"/>
    <w:rsid w:val="00BE406B"/>
    <w:rsid w:val="00BE4E97"/>
    <w:rsid w:val="00BE5982"/>
    <w:rsid w:val="00BE69B3"/>
    <w:rsid w:val="00BE6F7E"/>
    <w:rsid w:val="00BE79AC"/>
    <w:rsid w:val="00BE7AEF"/>
    <w:rsid w:val="00BE7CF5"/>
    <w:rsid w:val="00BE7EEF"/>
    <w:rsid w:val="00BE7F41"/>
    <w:rsid w:val="00BE7F6A"/>
    <w:rsid w:val="00BF004B"/>
    <w:rsid w:val="00BF0445"/>
    <w:rsid w:val="00BF0C0A"/>
    <w:rsid w:val="00BF139E"/>
    <w:rsid w:val="00BF1FEE"/>
    <w:rsid w:val="00BF2183"/>
    <w:rsid w:val="00BF2232"/>
    <w:rsid w:val="00BF251B"/>
    <w:rsid w:val="00BF2D16"/>
    <w:rsid w:val="00BF3799"/>
    <w:rsid w:val="00BF396C"/>
    <w:rsid w:val="00BF4558"/>
    <w:rsid w:val="00BF4C74"/>
    <w:rsid w:val="00BF4E28"/>
    <w:rsid w:val="00BF4E7E"/>
    <w:rsid w:val="00BF4F25"/>
    <w:rsid w:val="00BF52D1"/>
    <w:rsid w:val="00BF595C"/>
    <w:rsid w:val="00BF5A12"/>
    <w:rsid w:val="00BF6011"/>
    <w:rsid w:val="00BF6319"/>
    <w:rsid w:val="00BF655C"/>
    <w:rsid w:val="00BF6AD4"/>
    <w:rsid w:val="00BF7C35"/>
    <w:rsid w:val="00BF7F2A"/>
    <w:rsid w:val="00C00892"/>
    <w:rsid w:val="00C009F6"/>
    <w:rsid w:val="00C00F79"/>
    <w:rsid w:val="00C0188C"/>
    <w:rsid w:val="00C01BA7"/>
    <w:rsid w:val="00C01D67"/>
    <w:rsid w:val="00C02708"/>
    <w:rsid w:val="00C02F14"/>
    <w:rsid w:val="00C034CC"/>
    <w:rsid w:val="00C040BC"/>
    <w:rsid w:val="00C048A5"/>
    <w:rsid w:val="00C05653"/>
    <w:rsid w:val="00C05B9E"/>
    <w:rsid w:val="00C05EBC"/>
    <w:rsid w:val="00C06047"/>
    <w:rsid w:val="00C06385"/>
    <w:rsid w:val="00C06B0B"/>
    <w:rsid w:val="00C06D05"/>
    <w:rsid w:val="00C07080"/>
    <w:rsid w:val="00C073E6"/>
    <w:rsid w:val="00C0746D"/>
    <w:rsid w:val="00C08D0C"/>
    <w:rsid w:val="00C11144"/>
    <w:rsid w:val="00C1158D"/>
    <w:rsid w:val="00C1188F"/>
    <w:rsid w:val="00C11CB8"/>
    <w:rsid w:val="00C11E88"/>
    <w:rsid w:val="00C11EC8"/>
    <w:rsid w:val="00C12020"/>
    <w:rsid w:val="00C12117"/>
    <w:rsid w:val="00C123AC"/>
    <w:rsid w:val="00C125D7"/>
    <w:rsid w:val="00C134D6"/>
    <w:rsid w:val="00C135F0"/>
    <w:rsid w:val="00C13804"/>
    <w:rsid w:val="00C13D82"/>
    <w:rsid w:val="00C13FF8"/>
    <w:rsid w:val="00C142D6"/>
    <w:rsid w:val="00C146A9"/>
    <w:rsid w:val="00C156C5"/>
    <w:rsid w:val="00C15E3E"/>
    <w:rsid w:val="00C163AF"/>
    <w:rsid w:val="00C16E57"/>
    <w:rsid w:val="00C17AE0"/>
    <w:rsid w:val="00C20D0F"/>
    <w:rsid w:val="00C216FC"/>
    <w:rsid w:val="00C21D9C"/>
    <w:rsid w:val="00C2288C"/>
    <w:rsid w:val="00C22BA7"/>
    <w:rsid w:val="00C22D48"/>
    <w:rsid w:val="00C23177"/>
    <w:rsid w:val="00C236C3"/>
    <w:rsid w:val="00C23783"/>
    <w:rsid w:val="00C23B5C"/>
    <w:rsid w:val="00C2459B"/>
    <w:rsid w:val="00C246AB"/>
    <w:rsid w:val="00C25050"/>
    <w:rsid w:val="00C2510F"/>
    <w:rsid w:val="00C25B20"/>
    <w:rsid w:val="00C25E9F"/>
    <w:rsid w:val="00C25EA7"/>
    <w:rsid w:val="00C26E76"/>
    <w:rsid w:val="00C27302"/>
    <w:rsid w:val="00C2731D"/>
    <w:rsid w:val="00C27352"/>
    <w:rsid w:val="00C27433"/>
    <w:rsid w:val="00C2797B"/>
    <w:rsid w:val="00C27A13"/>
    <w:rsid w:val="00C30203"/>
    <w:rsid w:val="00C3060B"/>
    <w:rsid w:val="00C3140D"/>
    <w:rsid w:val="00C31B6F"/>
    <w:rsid w:val="00C31DBB"/>
    <w:rsid w:val="00C3274A"/>
    <w:rsid w:val="00C327E2"/>
    <w:rsid w:val="00C32ABC"/>
    <w:rsid w:val="00C33380"/>
    <w:rsid w:val="00C33476"/>
    <w:rsid w:val="00C33B60"/>
    <w:rsid w:val="00C34272"/>
    <w:rsid w:val="00C34400"/>
    <w:rsid w:val="00C346AC"/>
    <w:rsid w:val="00C3485B"/>
    <w:rsid w:val="00C34B01"/>
    <w:rsid w:val="00C35812"/>
    <w:rsid w:val="00C35829"/>
    <w:rsid w:val="00C36DC7"/>
    <w:rsid w:val="00C36FED"/>
    <w:rsid w:val="00C37437"/>
    <w:rsid w:val="00C374DE"/>
    <w:rsid w:val="00C407F3"/>
    <w:rsid w:val="00C4140A"/>
    <w:rsid w:val="00C42087"/>
    <w:rsid w:val="00C4237F"/>
    <w:rsid w:val="00C42737"/>
    <w:rsid w:val="00C43808"/>
    <w:rsid w:val="00C455AF"/>
    <w:rsid w:val="00C458BF"/>
    <w:rsid w:val="00C462A2"/>
    <w:rsid w:val="00C4652D"/>
    <w:rsid w:val="00C46901"/>
    <w:rsid w:val="00C4782C"/>
    <w:rsid w:val="00C502E4"/>
    <w:rsid w:val="00C50301"/>
    <w:rsid w:val="00C5069C"/>
    <w:rsid w:val="00C51760"/>
    <w:rsid w:val="00C519C5"/>
    <w:rsid w:val="00C51ABA"/>
    <w:rsid w:val="00C51BD5"/>
    <w:rsid w:val="00C52113"/>
    <w:rsid w:val="00C52230"/>
    <w:rsid w:val="00C5268C"/>
    <w:rsid w:val="00C52E5B"/>
    <w:rsid w:val="00C53671"/>
    <w:rsid w:val="00C53EB6"/>
    <w:rsid w:val="00C54861"/>
    <w:rsid w:val="00C54952"/>
    <w:rsid w:val="00C54C51"/>
    <w:rsid w:val="00C552D8"/>
    <w:rsid w:val="00C55B4F"/>
    <w:rsid w:val="00C55C5C"/>
    <w:rsid w:val="00C56F8D"/>
    <w:rsid w:val="00C5703F"/>
    <w:rsid w:val="00C572C3"/>
    <w:rsid w:val="00C578D2"/>
    <w:rsid w:val="00C57E56"/>
    <w:rsid w:val="00C6029C"/>
    <w:rsid w:val="00C60CDD"/>
    <w:rsid w:val="00C616AA"/>
    <w:rsid w:val="00C6184A"/>
    <w:rsid w:val="00C61AEC"/>
    <w:rsid w:val="00C61C88"/>
    <w:rsid w:val="00C62096"/>
    <w:rsid w:val="00C62128"/>
    <w:rsid w:val="00C62C5C"/>
    <w:rsid w:val="00C634BC"/>
    <w:rsid w:val="00C63517"/>
    <w:rsid w:val="00C63F26"/>
    <w:rsid w:val="00C6483B"/>
    <w:rsid w:val="00C64AD9"/>
    <w:rsid w:val="00C64C09"/>
    <w:rsid w:val="00C64D23"/>
    <w:rsid w:val="00C650A3"/>
    <w:rsid w:val="00C65384"/>
    <w:rsid w:val="00C6562D"/>
    <w:rsid w:val="00C659AA"/>
    <w:rsid w:val="00C65DBD"/>
    <w:rsid w:val="00C6622D"/>
    <w:rsid w:val="00C664F0"/>
    <w:rsid w:val="00C666CE"/>
    <w:rsid w:val="00C6686E"/>
    <w:rsid w:val="00C66903"/>
    <w:rsid w:val="00C670C8"/>
    <w:rsid w:val="00C679C9"/>
    <w:rsid w:val="00C7009E"/>
    <w:rsid w:val="00C70203"/>
    <w:rsid w:val="00C70506"/>
    <w:rsid w:val="00C71AEB"/>
    <w:rsid w:val="00C71C10"/>
    <w:rsid w:val="00C72241"/>
    <w:rsid w:val="00C72AAA"/>
    <w:rsid w:val="00C72BF2"/>
    <w:rsid w:val="00C73455"/>
    <w:rsid w:val="00C739F1"/>
    <w:rsid w:val="00C75AA2"/>
    <w:rsid w:val="00C75C77"/>
    <w:rsid w:val="00C76458"/>
    <w:rsid w:val="00C76F6F"/>
    <w:rsid w:val="00C7709B"/>
    <w:rsid w:val="00C77245"/>
    <w:rsid w:val="00C804B0"/>
    <w:rsid w:val="00C80622"/>
    <w:rsid w:val="00C80D6B"/>
    <w:rsid w:val="00C8152B"/>
    <w:rsid w:val="00C81861"/>
    <w:rsid w:val="00C8195C"/>
    <w:rsid w:val="00C819AA"/>
    <w:rsid w:val="00C81E8A"/>
    <w:rsid w:val="00C823EB"/>
    <w:rsid w:val="00C82C0C"/>
    <w:rsid w:val="00C84374"/>
    <w:rsid w:val="00C844CE"/>
    <w:rsid w:val="00C84671"/>
    <w:rsid w:val="00C85553"/>
    <w:rsid w:val="00C85DFA"/>
    <w:rsid w:val="00C87090"/>
    <w:rsid w:val="00C8737A"/>
    <w:rsid w:val="00C9090C"/>
    <w:rsid w:val="00C92422"/>
    <w:rsid w:val="00C926BA"/>
    <w:rsid w:val="00C92950"/>
    <w:rsid w:val="00C929E7"/>
    <w:rsid w:val="00C93737"/>
    <w:rsid w:val="00C937FA"/>
    <w:rsid w:val="00C93B8B"/>
    <w:rsid w:val="00C945CC"/>
    <w:rsid w:val="00C945EF"/>
    <w:rsid w:val="00C946F8"/>
    <w:rsid w:val="00C95EAF"/>
    <w:rsid w:val="00C9643B"/>
    <w:rsid w:val="00C96549"/>
    <w:rsid w:val="00C966CF"/>
    <w:rsid w:val="00C96755"/>
    <w:rsid w:val="00C96760"/>
    <w:rsid w:val="00C9706D"/>
    <w:rsid w:val="00C9719E"/>
    <w:rsid w:val="00CA05DC"/>
    <w:rsid w:val="00CA1379"/>
    <w:rsid w:val="00CA15E5"/>
    <w:rsid w:val="00CA1888"/>
    <w:rsid w:val="00CA1945"/>
    <w:rsid w:val="00CA2636"/>
    <w:rsid w:val="00CA3030"/>
    <w:rsid w:val="00CA4EB8"/>
    <w:rsid w:val="00CA5048"/>
    <w:rsid w:val="00CA537D"/>
    <w:rsid w:val="00CA5676"/>
    <w:rsid w:val="00CA5AB7"/>
    <w:rsid w:val="00CA5C04"/>
    <w:rsid w:val="00CA66EF"/>
    <w:rsid w:val="00CA763E"/>
    <w:rsid w:val="00CB01DD"/>
    <w:rsid w:val="00CB07B4"/>
    <w:rsid w:val="00CB09B7"/>
    <w:rsid w:val="00CB0E4D"/>
    <w:rsid w:val="00CB14BA"/>
    <w:rsid w:val="00CB1E6C"/>
    <w:rsid w:val="00CB20E4"/>
    <w:rsid w:val="00CB2355"/>
    <w:rsid w:val="00CB2574"/>
    <w:rsid w:val="00CB29DE"/>
    <w:rsid w:val="00CB2ED2"/>
    <w:rsid w:val="00CB3845"/>
    <w:rsid w:val="00CB412A"/>
    <w:rsid w:val="00CB4FAE"/>
    <w:rsid w:val="00CB630F"/>
    <w:rsid w:val="00CB75C0"/>
    <w:rsid w:val="00CB7BD8"/>
    <w:rsid w:val="00CB7E10"/>
    <w:rsid w:val="00CC02BB"/>
    <w:rsid w:val="00CC0779"/>
    <w:rsid w:val="00CC0A49"/>
    <w:rsid w:val="00CC20FF"/>
    <w:rsid w:val="00CC28D5"/>
    <w:rsid w:val="00CC2CC0"/>
    <w:rsid w:val="00CC315F"/>
    <w:rsid w:val="00CC50E3"/>
    <w:rsid w:val="00CC5B4B"/>
    <w:rsid w:val="00CC6642"/>
    <w:rsid w:val="00CC69B5"/>
    <w:rsid w:val="00CC6C4A"/>
    <w:rsid w:val="00CC7587"/>
    <w:rsid w:val="00CC7B07"/>
    <w:rsid w:val="00CC7B5B"/>
    <w:rsid w:val="00CD0197"/>
    <w:rsid w:val="00CD019D"/>
    <w:rsid w:val="00CD0788"/>
    <w:rsid w:val="00CD0B6E"/>
    <w:rsid w:val="00CD2448"/>
    <w:rsid w:val="00CD29E9"/>
    <w:rsid w:val="00CD30BC"/>
    <w:rsid w:val="00CD31CE"/>
    <w:rsid w:val="00CD3728"/>
    <w:rsid w:val="00CD4AB6"/>
    <w:rsid w:val="00CD4FC8"/>
    <w:rsid w:val="00CD5021"/>
    <w:rsid w:val="00CD58A0"/>
    <w:rsid w:val="00CD5C14"/>
    <w:rsid w:val="00CD6EFB"/>
    <w:rsid w:val="00CD7079"/>
    <w:rsid w:val="00CD72A8"/>
    <w:rsid w:val="00CD7713"/>
    <w:rsid w:val="00CE1401"/>
    <w:rsid w:val="00CE1E5F"/>
    <w:rsid w:val="00CE214F"/>
    <w:rsid w:val="00CE2154"/>
    <w:rsid w:val="00CE2A64"/>
    <w:rsid w:val="00CE3871"/>
    <w:rsid w:val="00CE3AFA"/>
    <w:rsid w:val="00CE3FC5"/>
    <w:rsid w:val="00CE4A67"/>
    <w:rsid w:val="00CE4D24"/>
    <w:rsid w:val="00CE4F71"/>
    <w:rsid w:val="00CE5BAF"/>
    <w:rsid w:val="00CE6938"/>
    <w:rsid w:val="00CE71E6"/>
    <w:rsid w:val="00CE727D"/>
    <w:rsid w:val="00CE7743"/>
    <w:rsid w:val="00CF02E9"/>
    <w:rsid w:val="00CF0334"/>
    <w:rsid w:val="00CF230F"/>
    <w:rsid w:val="00CF2646"/>
    <w:rsid w:val="00CF2842"/>
    <w:rsid w:val="00CF28CE"/>
    <w:rsid w:val="00CF2A31"/>
    <w:rsid w:val="00CF2B74"/>
    <w:rsid w:val="00CF394A"/>
    <w:rsid w:val="00CF3D5E"/>
    <w:rsid w:val="00CF427F"/>
    <w:rsid w:val="00CF4987"/>
    <w:rsid w:val="00CF4A4A"/>
    <w:rsid w:val="00CF5148"/>
    <w:rsid w:val="00CF5769"/>
    <w:rsid w:val="00CF58D8"/>
    <w:rsid w:val="00CF615B"/>
    <w:rsid w:val="00CF6217"/>
    <w:rsid w:val="00CF673F"/>
    <w:rsid w:val="00CF79C4"/>
    <w:rsid w:val="00CF7C2E"/>
    <w:rsid w:val="00D004B9"/>
    <w:rsid w:val="00D00589"/>
    <w:rsid w:val="00D00609"/>
    <w:rsid w:val="00D009FB"/>
    <w:rsid w:val="00D00B7F"/>
    <w:rsid w:val="00D01152"/>
    <w:rsid w:val="00D0136D"/>
    <w:rsid w:val="00D019DB"/>
    <w:rsid w:val="00D01AD3"/>
    <w:rsid w:val="00D01BF0"/>
    <w:rsid w:val="00D02891"/>
    <w:rsid w:val="00D02FA9"/>
    <w:rsid w:val="00D030BC"/>
    <w:rsid w:val="00D03397"/>
    <w:rsid w:val="00D033C0"/>
    <w:rsid w:val="00D03767"/>
    <w:rsid w:val="00D045E2"/>
    <w:rsid w:val="00D047CC"/>
    <w:rsid w:val="00D04BB2"/>
    <w:rsid w:val="00D04CEA"/>
    <w:rsid w:val="00D04D4E"/>
    <w:rsid w:val="00D05C43"/>
    <w:rsid w:val="00D06FF2"/>
    <w:rsid w:val="00D07D82"/>
    <w:rsid w:val="00D108FF"/>
    <w:rsid w:val="00D10B00"/>
    <w:rsid w:val="00D112CB"/>
    <w:rsid w:val="00D123B4"/>
    <w:rsid w:val="00D123CF"/>
    <w:rsid w:val="00D12A37"/>
    <w:rsid w:val="00D12E66"/>
    <w:rsid w:val="00D132B9"/>
    <w:rsid w:val="00D140F7"/>
    <w:rsid w:val="00D14471"/>
    <w:rsid w:val="00D14509"/>
    <w:rsid w:val="00D14BE0"/>
    <w:rsid w:val="00D14D99"/>
    <w:rsid w:val="00D165BC"/>
    <w:rsid w:val="00D16847"/>
    <w:rsid w:val="00D16C71"/>
    <w:rsid w:val="00D1735F"/>
    <w:rsid w:val="00D1785B"/>
    <w:rsid w:val="00D17A1E"/>
    <w:rsid w:val="00D17D75"/>
    <w:rsid w:val="00D20D07"/>
    <w:rsid w:val="00D20E1B"/>
    <w:rsid w:val="00D20EA3"/>
    <w:rsid w:val="00D211C0"/>
    <w:rsid w:val="00D2247D"/>
    <w:rsid w:val="00D22605"/>
    <w:rsid w:val="00D23916"/>
    <w:rsid w:val="00D23D2B"/>
    <w:rsid w:val="00D23E52"/>
    <w:rsid w:val="00D24373"/>
    <w:rsid w:val="00D249F3"/>
    <w:rsid w:val="00D25F17"/>
    <w:rsid w:val="00D260EE"/>
    <w:rsid w:val="00D261BF"/>
    <w:rsid w:val="00D268A8"/>
    <w:rsid w:val="00D2696B"/>
    <w:rsid w:val="00D27414"/>
    <w:rsid w:val="00D277A3"/>
    <w:rsid w:val="00D30155"/>
    <w:rsid w:val="00D3034B"/>
    <w:rsid w:val="00D30B8E"/>
    <w:rsid w:val="00D31517"/>
    <w:rsid w:val="00D3171F"/>
    <w:rsid w:val="00D31720"/>
    <w:rsid w:val="00D31867"/>
    <w:rsid w:val="00D31CE7"/>
    <w:rsid w:val="00D31D47"/>
    <w:rsid w:val="00D323EC"/>
    <w:rsid w:val="00D32AAC"/>
    <w:rsid w:val="00D32D18"/>
    <w:rsid w:val="00D33171"/>
    <w:rsid w:val="00D33757"/>
    <w:rsid w:val="00D348DC"/>
    <w:rsid w:val="00D355E7"/>
    <w:rsid w:val="00D35B63"/>
    <w:rsid w:val="00D3658A"/>
    <w:rsid w:val="00D36D4B"/>
    <w:rsid w:val="00D37115"/>
    <w:rsid w:val="00D37186"/>
    <w:rsid w:val="00D37A4E"/>
    <w:rsid w:val="00D37FB7"/>
    <w:rsid w:val="00D40C84"/>
    <w:rsid w:val="00D40F6A"/>
    <w:rsid w:val="00D41070"/>
    <w:rsid w:val="00D41323"/>
    <w:rsid w:val="00D41A01"/>
    <w:rsid w:val="00D42118"/>
    <w:rsid w:val="00D425FF"/>
    <w:rsid w:val="00D435E3"/>
    <w:rsid w:val="00D43D72"/>
    <w:rsid w:val="00D454DB"/>
    <w:rsid w:val="00D455D1"/>
    <w:rsid w:val="00D4657B"/>
    <w:rsid w:val="00D467AE"/>
    <w:rsid w:val="00D46A26"/>
    <w:rsid w:val="00D50169"/>
    <w:rsid w:val="00D5078B"/>
    <w:rsid w:val="00D51292"/>
    <w:rsid w:val="00D5167E"/>
    <w:rsid w:val="00D5184A"/>
    <w:rsid w:val="00D528C5"/>
    <w:rsid w:val="00D5309A"/>
    <w:rsid w:val="00D537FF"/>
    <w:rsid w:val="00D53C0A"/>
    <w:rsid w:val="00D53C80"/>
    <w:rsid w:val="00D54C57"/>
    <w:rsid w:val="00D550F8"/>
    <w:rsid w:val="00D5570C"/>
    <w:rsid w:val="00D55986"/>
    <w:rsid w:val="00D55CA1"/>
    <w:rsid w:val="00D5648C"/>
    <w:rsid w:val="00D5678A"/>
    <w:rsid w:val="00D56E29"/>
    <w:rsid w:val="00D578DE"/>
    <w:rsid w:val="00D57CD2"/>
    <w:rsid w:val="00D57EB7"/>
    <w:rsid w:val="00D60012"/>
    <w:rsid w:val="00D6034F"/>
    <w:rsid w:val="00D6265A"/>
    <w:rsid w:val="00D632FC"/>
    <w:rsid w:val="00D64A8A"/>
    <w:rsid w:val="00D64CEA"/>
    <w:rsid w:val="00D64DD7"/>
    <w:rsid w:val="00D64E0F"/>
    <w:rsid w:val="00D6500C"/>
    <w:rsid w:val="00D652D3"/>
    <w:rsid w:val="00D659FA"/>
    <w:rsid w:val="00D65C9E"/>
    <w:rsid w:val="00D65E1D"/>
    <w:rsid w:val="00D66B52"/>
    <w:rsid w:val="00D66B71"/>
    <w:rsid w:val="00D67F24"/>
    <w:rsid w:val="00D7014A"/>
    <w:rsid w:val="00D70998"/>
    <w:rsid w:val="00D71285"/>
    <w:rsid w:val="00D712E7"/>
    <w:rsid w:val="00D7139E"/>
    <w:rsid w:val="00D7184B"/>
    <w:rsid w:val="00D7195D"/>
    <w:rsid w:val="00D71B29"/>
    <w:rsid w:val="00D71C52"/>
    <w:rsid w:val="00D72364"/>
    <w:rsid w:val="00D7256C"/>
    <w:rsid w:val="00D72F67"/>
    <w:rsid w:val="00D738B7"/>
    <w:rsid w:val="00D7453F"/>
    <w:rsid w:val="00D75215"/>
    <w:rsid w:val="00D75639"/>
    <w:rsid w:val="00D7563A"/>
    <w:rsid w:val="00D75A97"/>
    <w:rsid w:val="00D76254"/>
    <w:rsid w:val="00D76256"/>
    <w:rsid w:val="00D770BF"/>
    <w:rsid w:val="00D77201"/>
    <w:rsid w:val="00D77E6E"/>
    <w:rsid w:val="00D77F72"/>
    <w:rsid w:val="00D80022"/>
    <w:rsid w:val="00D8025E"/>
    <w:rsid w:val="00D803E0"/>
    <w:rsid w:val="00D8051D"/>
    <w:rsid w:val="00D808B9"/>
    <w:rsid w:val="00D80DD1"/>
    <w:rsid w:val="00D80EC5"/>
    <w:rsid w:val="00D81844"/>
    <w:rsid w:val="00D81BBB"/>
    <w:rsid w:val="00D81D0D"/>
    <w:rsid w:val="00D823A6"/>
    <w:rsid w:val="00D8326A"/>
    <w:rsid w:val="00D8391F"/>
    <w:rsid w:val="00D84245"/>
    <w:rsid w:val="00D84E79"/>
    <w:rsid w:val="00D8504F"/>
    <w:rsid w:val="00D85489"/>
    <w:rsid w:val="00D85623"/>
    <w:rsid w:val="00D85C10"/>
    <w:rsid w:val="00D85CEA"/>
    <w:rsid w:val="00D85F78"/>
    <w:rsid w:val="00D86699"/>
    <w:rsid w:val="00D86CA9"/>
    <w:rsid w:val="00D8743F"/>
    <w:rsid w:val="00D87D54"/>
    <w:rsid w:val="00D9148F"/>
    <w:rsid w:val="00D914EB"/>
    <w:rsid w:val="00D92759"/>
    <w:rsid w:val="00D9281D"/>
    <w:rsid w:val="00D9316E"/>
    <w:rsid w:val="00D931DF"/>
    <w:rsid w:val="00D94500"/>
    <w:rsid w:val="00D94790"/>
    <w:rsid w:val="00D94BF4"/>
    <w:rsid w:val="00D9522C"/>
    <w:rsid w:val="00D95E4A"/>
    <w:rsid w:val="00D965AD"/>
    <w:rsid w:val="00D96CF0"/>
    <w:rsid w:val="00D96F30"/>
    <w:rsid w:val="00D97831"/>
    <w:rsid w:val="00DA09B8"/>
    <w:rsid w:val="00DA1761"/>
    <w:rsid w:val="00DA1793"/>
    <w:rsid w:val="00DA1C64"/>
    <w:rsid w:val="00DA235A"/>
    <w:rsid w:val="00DA35DD"/>
    <w:rsid w:val="00DA370D"/>
    <w:rsid w:val="00DA4031"/>
    <w:rsid w:val="00DA463F"/>
    <w:rsid w:val="00DA4B23"/>
    <w:rsid w:val="00DA4CEB"/>
    <w:rsid w:val="00DA596C"/>
    <w:rsid w:val="00DA5AC3"/>
    <w:rsid w:val="00DA5E64"/>
    <w:rsid w:val="00DA6281"/>
    <w:rsid w:val="00DA6821"/>
    <w:rsid w:val="00DA6ADE"/>
    <w:rsid w:val="00DA6B3A"/>
    <w:rsid w:val="00DA6C47"/>
    <w:rsid w:val="00DA6CD5"/>
    <w:rsid w:val="00DA6FFC"/>
    <w:rsid w:val="00DA763C"/>
    <w:rsid w:val="00DB057F"/>
    <w:rsid w:val="00DB0950"/>
    <w:rsid w:val="00DB1440"/>
    <w:rsid w:val="00DB156A"/>
    <w:rsid w:val="00DB1EE7"/>
    <w:rsid w:val="00DB23C0"/>
    <w:rsid w:val="00DB2A80"/>
    <w:rsid w:val="00DB2B80"/>
    <w:rsid w:val="00DB2CFC"/>
    <w:rsid w:val="00DB2D44"/>
    <w:rsid w:val="00DB3890"/>
    <w:rsid w:val="00DB3B6D"/>
    <w:rsid w:val="00DB3BDA"/>
    <w:rsid w:val="00DB3F7D"/>
    <w:rsid w:val="00DB4459"/>
    <w:rsid w:val="00DB5398"/>
    <w:rsid w:val="00DB562D"/>
    <w:rsid w:val="00DB5740"/>
    <w:rsid w:val="00DB58B5"/>
    <w:rsid w:val="00DB5D1B"/>
    <w:rsid w:val="00DB6FA0"/>
    <w:rsid w:val="00DC156F"/>
    <w:rsid w:val="00DC164E"/>
    <w:rsid w:val="00DC16E5"/>
    <w:rsid w:val="00DC223D"/>
    <w:rsid w:val="00DC2653"/>
    <w:rsid w:val="00DC462D"/>
    <w:rsid w:val="00DC5313"/>
    <w:rsid w:val="00DC5595"/>
    <w:rsid w:val="00DC64A3"/>
    <w:rsid w:val="00DC787A"/>
    <w:rsid w:val="00DC7D81"/>
    <w:rsid w:val="00DC7ECA"/>
    <w:rsid w:val="00DD05F8"/>
    <w:rsid w:val="00DD08EB"/>
    <w:rsid w:val="00DD0B73"/>
    <w:rsid w:val="00DD1CD7"/>
    <w:rsid w:val="00DD29D0"/>
    <w:rsid w:val="00DD2DB7"/>
    <w:rsid w:val="00DD58D6"/>
    <w:rsid w:val="00DD6039"/>
    <w:rsid w:val="00DD6A66"/>
    <w:rsid w:val="00DD6B3E"/>
    <w:rsid w:val="00DD6ED8"/>
    <w:rsid w:val="00DD73AD"/>
    <w:rsid w:val="00DD73BA"/>
    <w:rsid w:val="00DD7FEE"/>
    <w:rsid w:val="00DE0464"/>
    <w:rsid w:val="00DE046A"/>
    <w:rsid w:val="00DE0756"/>
    <w:rsid w:val="00DE0B93"/>
    <w:rsid w:val="00DE0ECD"/>
    <w:rsid w:val="00DE169D"/>
    <w:rsid w:val="00DE1DDF"/>
    <w:rsid w:val="00DE1E95"/>
    <w:rsid w:val="00DE2448"/>
    <w:rsid w:val="00DE2ACD"/>
    <w:rsid w:val="00DE4E39"/>
    <w:rsid w:val="00DE5ABA"/>
    <w:rsid w:val="00DE5EBD"/>
    <w:rsid w:val="00DE71A2"/>
    <w:rsid w:val="00DE7D3D"/>
    <w:rsid w:val="00DF083F"/>
    <w:rsid w:val="00DF1236"/>
    <w:rsid w:val="00DF1313"/>
    <w:rsid w:val="00DF145A"/>
    <w:rsid w:val="00DF158D"/>
    <w:rsid w:val="00DF1EEA"/>
    <w:rsid w:val="00DF23A4"/>
    <w:rsid w:val="00DF2822"/>
    <w:rsid w:val="00DF2F20"/>
    <w:rsid w:val="00DF351E"/>
    <w:rsid w:val="00DF36AC"/>
    <w:rsid w:val="00DF398B"/>
    <w:rsid w:val="00DF486B"/>
    <w:rsid w:val="00DF4908"/>
    <w:rsid w:val="00DF4AEB"/>
    <w:rsid w:val="00DF4EE4"/>
    <w:rsid w:val="00DF552D"/>
    <w:rsid w:val="00DF62FF"/>
    <w:rsid w:val="00DF7826"/>
    <w:rsid w:val="00E00F26"/>
    <w:rsid w:val="00E01621"/>
    <w:rsid w:val="00E016AA"/>
    <w:rsid w:val="00E02A1A"/>
    <w:rsid w:val="00E02C8B"/>
    <w:rsid w:val="00E02F98"/>
    <w:rsid w:val="00E02FDD"/>
    <w:rsid w:val="00E042FE"/>
    <w:rsid w:val="00E04664"/>
    <w:rsid w:val="00E04869"/>
    <w:rsid w:val="00E04CD5"/>
    <w:rsid w:val="00E05B97"/>
    <w:rsid w:val="00E05E01"/>
    <w:rsid w:val="00E06FC4"/>
    <w:rsid w:val="00E0786E"/>
    <w:rsid w:val="00E102E0"/>
    <w:rsid w:val="00E107C5"/>
    <w:rsid w:val="00E10AF7"/>
    <w:rsid w:val="00E1155A"/>
    <w:rsid w:val="00E1165C"/>
    <w:rsid w:val="00E11ED5"/>
    <w:rsid w:val="00E12153"/>
    <w:rsid w:val="00E12249"/>
    <w:rsid w:val="00E137DD"/>
    <w:rsid w:val="00E14177"/>
    <w:rsid w:val="00E14251"/>
    <w:rsid w:val="00E14289"/>
    <w:rsid w:val="00E1463A"/>
    <w:rsid w:val="00E15412"/>
    <w:rsid w:val="00E1558E"/>
    <w:rsid w:val="00E155D5"/>
    <w:rsid w:val="00E1586E"/>
    <w:rsid w:val="00E15BEF"/>
    <w:rsid w:val="00E161CC"/>
    <w:rsid w:val="00E161E2"/>
    <w:rsid w:val="00E16D85"/>
    <w:rsid w:val="00E173A9"/>
    <w:rsid w:val="00E1766C"/>
    <w:rsid w:val="00E1781F"/>
    <w:rsid w:val="00E17CAF"/>
    <w:rsid w:val="00E17FF5"/>
    <w:rsid w:val="00E200BF"/>
    <w:rsid w:val="00E20935"/>
    <w:rsid w:val="00E209F6"/>
    <w:rsid w:val="00E21E68"/>
    <w:rsid w:val="00E22B33"/>
    <w:rsid w:val="00E232BE"/>
    <w:rsid w:val="00E23707"/>
    <w:rsid w:val="00E23A18"/>
    <w:rsid w:val="00E23DE2"/>
    <w:rsid w:val="00E23FFE"/>
    <w:rsid w:val="00E24F2D"/>
    <w:rsid w:val="00E2503A"/>
    <w:rsid w:val="00E25046"/>
    <w:rsid w:val="00E2702D"/>
    <w:rsid w:val="00E2781A"/>
    <w:rsid w:val="00E27980"/>
    <w:rsid w:val="00E30026"/>
    <w:rsid w:val="00E30FA5"/>
    <w:rsid w:val="00E31004"/>
    <w:rsid w:val="00E31092"/>
    <w:rsid w:val="00E31A1D"/>
    <w:rsid w:val="00E32462"/>
    <w:rsid w:val="00E32EFE"/>
    <w:rsid w:val="00E3300E"/>
    <w:rsid w:val="00E3318F"/>
    <w:rsid w:val="00E331B7"/>
    <w:rsid w:val="00E33820"/>
    <w:rsid w:val="00E33CA7"/>
    <w:rsid w:val="00E33F1E"/>
    <w:rsid w:val="00E3495C"/>
    <w:rsid w:val="00E34F31"/>
    <w:rsid w:val="00E356F0"/>
    <w:rsid w:val="00E35818"/>
    <w:rsid w:val="00E3585F"/>
    <w:rsid w:val="00E358E7"/>
    <w:rsid w:val="00E35AC1"/>
    <w:rsid w:val="00E3643E"/>
    <w:rsid w:val="00E365B5"/>
    <w:rsid w:val="00E36A3B"/>
    <w:rsid w:val="00E378E2"/>
    <w:rsid w:val="00E37998"/>
    <w:rsid w:val="00E402D9"/>
    <w:rsid w:val="00E40C3A"/>
    <w:rsid w:val="00E41D54"/>
    <w:rsid w:val="00E427E0"/>
    <w:rsid w:val="00E42824"/>
    <w:rsid w:val="00E43D57"/>
    <w:rsid w:val="00E43D92"/>
    <w:rsid w:val="00E43E07"/>
    <w:rsid w:val="00E43F18"/>
    <w:rsid w:val="00E44AA8"/>
    <w:rsid w:val="00E456F8"/>
    <w:rsid w:val="00E459DD"/>
    <w:rsid w:val="00E46D6C"/>
    <w:rsid w:val="00E46D77"/>
    <w:rsid w:val="00E46DF1"/>
    <w:rsid w:val="00E46FFE"/>
    <w:rsid w:val="00E471C6"/>
    <w:rsid w:val="00E474FC"/>
    <w:rsid w:val="00E476F3"/>
    <w:rsid w:val="00E500C4"/>
    <w:rsid w:val="00E5093C"/>
    <w:rsid w:val="00E50ABB"/>
    <w:rsid w:val="00E50C76"/>
    <w:rsid w:val="00E50F84"/>
    <w:rsid w:val="00E516F3"/>
    <w:rsid w:val="00E5189C"/>
    <w:rsid w:val="00E51B98"/>
    <w:rsid w:val="00E51CB1"/>
    <w:rsid w:val="00E51EBD"/>
    <w:rsid w:val="00E52062"/>
    <w:rsid w:val="00E52616"/>
    <w:rsid w:val="00E5265C"/>
    <w:rsid w:val="00E52E12"/>
    <w:rsid w:val="00E537EE"/>
    <w:rsid w:val="00E53863"/>
    <w:rsid w:val="00E53C5E"/>
    <w:rsid w:val="00E53EA0"/>
    <w:rsid w:val="00E53EBB"/>
    <w:rsid w:val="00E54029"/>
    <w:rsid w:val="00E54BCB"/>
    <w:rsid w:val="00E55206"/>
    <w:rsid w:val="00E564FE"/>
    <w:rsid w:val="00E571B4"/>
    <w:rsid w:val="00E57C4A"/>
    <w:rsid w:val="00E60529"/>
    <w:rsid w:val="00E605C9"/>
    <w:rsid w:val="00E612BB"/>
    <w:rsid w:val="00E62053"/>
    <w:rsid w:val="00E62747"/>
    <w:rsid w:val="00E62802"/>
    <w:rsid w:val="00E62A39"/>
    <w:rsid w:val="00E63013"/>
    <w:rsid w:val="00E6308F"/>
    <w:rsid w:val="00E63AD1"/>
    <w:rsid w:val="00E6429C"/>
    <w:rsid w:val="00E64348"/>
    <w:rsid w:val="00E6443F"/>
    <w:rsid w:val="00E650D5"/>
    <w:rsid w:val="00E652B5"/>
    <w:rsid w:val="00E65315"/>
    <w:rsid w:val="00E65D3F"/>
    <w:rsid w:val="00E65F92"/>
    <w:rsid w:val="00E66616"/>
    <w:rsid w:val="00E669F4"/>
    <w:rsid w:val="00E672CE"/>
    <w:rsid w:val="00E6766E"/>
    <w:rsid w:val="00E67821"/>
    <w:rsid w:val="00E67DF5"/>
    <w:rsid w:val="00E70FD8"/>
    <w:rsid w:val="00E71095"/>
    <w:rsid w:val="00E715D3"/>
    <w:rsid w:val="00E71AAC"/>
    <w:rsid w:val="00E72BF4"/>
    <w:rsid w:val="00E73010"/>
    <w:rsid w:val="00E73FC1"/>
    <w:rsid w:val="00E73FF9"/>
    <w:rsid w:val="00E74658"/>
    <w:rsid w:val="00E74795"/>
    <w:rsid w:val="00E75092"/>
    <w:rsid w:val="00E75138"/>
    <w:rsid w:val="00E75C8D"/>
    <w:rsid w:val="00E7634D"/>
    <w:rsid w:val="00E76440"/>
    <w:rsid w:val="00E768CF"/>
    <w:rsid w:val="00E76D04"/>
    <w:rsid w:val="00E77EAB"/>
    <w:rsid w:val="00E77F58"/>
    <w:rsid w:val="00E80CFB"/>
    <w:rsid w:val="00E810D3"/>
    <w:rsid w:val="00E81567"/>
    <w:rsid w:val="00E815A3"/>
    <w:rsid w:val="00E81CEA"/>
    <w:rsid w:val="00E81FA5"/>
    <w:rsid w:val="00E827FE"/>
    <w:rsid w:val="00E83F93"/>
    <w:rsid w:val="00E84371"/>
    <w:rsid w:val="00E84580"/>
    <w:rsid w:val="00E847AA"/>
    <w:rsid w:val="00E848D2"/>
    <w:rsid w:val="00E84CA0"/>
    <w:rsid w:val="00E84EDA"/>
    <w:rsid w:val="00E84FB0"/>
    <w:rsid w:val="00E857EE"/>
    <w:rsid w:val="00E8582C"/>
    <w:rsid w:val="00E858CD"/>
    <w:rsid w:val="00E8593E"/>
    <w:rsid w:val="00E85BBE"/>
    <w:rsid w:val="00E86C76"/>
    <w:rsid w:val="00E86CBE"/>
    <w:rsid w:val="00E87099"/>
    <w:rsid w:val="00E871CC"/>
    <w:rsid w:val="00E8777B"/>
    <w:rsid w:val="00E877F7"/>
    <w:rsid w:val="00E8799B"/>
    <w:rsid w:val="00E87B85"/>
    <w:rsid w:val="00E87B87"/>
    <w:rsid w:val="00E9092D"/>
    <w:rsid w:val="00E91200"/>
    <w:rsid w:val="00E918B8"/>
    <w:rsid w:val="00E91963"/>
    <w:rsid w:val="00E9211E"/>
    <w:rsid w:val="00E92FB2"/>
    <w:rsid w:val="00E933AF"/>
    <w:rsid w:val="00E934ED"/>
    <w:rsid w:val="00E944B0"/>
    <w:rsid w:val="00E94584"/>
    <w:rsid w:val="00E94B33"/>
    <w:rsid w:val="00E94BB7"/>
    <w:rsid w:val="00E9509D"/>
    <w:rsid w:val="00E9537F"/>
    <w:rsid w:val="00E956A6"/>
    <w:rsid w:val="00E95832"/>
    <w:rsid w:val="00E95A2D"/>
    <w:rsid w:val="00E95B05"/>
    <w:rsid w:val="00E9628E"/>
    <w:rsid w:val="00E9692C"/>
    <w:rsid w:val="00E96CDA"/>
    <w:rsid w:val="00E97101"/>
    <w:rsid w:val="00E97495"/>
    <w:rsid w:val="00E97600"/>
    <w:rsid w:val="00E97672"/>
    <w:rsid w:val="00E97A2A"/>
    <w:rsid w:val="00EA10CD"/>
    <w:rsid w:val="00EA1CE8"/>
    <w:rsid w:val="00EA218B"/>
    <w:rsid w:val="00EA25DA"/>
    <w:rsid w:val="00EA2D19"/>
    <w:rsid w:val="00EA39C0"/>
    <w:rsid w:val="00EA4C69"/>
    <w:rsid w:val="00EA50DE"/>
    <w:rsid w:val="00EA5531"/>
    <w:rsid w:val="00EA5E8D"/>
    <w:rsid w:val="00EA71B8"/>
    <w:rsid w:val="00EA7A92"/>
    <w:rsid w:val="00EA7D58"/>
    <w:rsid w:val="00EB090A"/>
    <w:rsid w:val="00EB0B5F"/>
    <w:rsid w:val="00EB0DEE"/>
    <w:rsid w:val="00EB133D"/>
    <w:rsid w:val="00EB17EF"/>
    <w:rsid w:val="00EB2440"/>
    <w:rsid w:val="00EB26E0"/>
    <w:rsid w:val="00EB2728"/>
    <w:rsid w:val="00EB2A74"/>
    <w:rsid w:val="00EB2DF0"/>
    <w:rsid w:val="00EB2EA6"/>
    <w:rsid w:val="00EB31D6"/>
    <w:rsid w:val="00EB3612"/>
    <w:rsid w:val="00EB36A1"/>
    <w:rsid w:val="00EB3900"/>
    <w:rsid w:val="00EB394C"/>
    <w:rsid w:val="00EB40DD"/>
    <w:rsid w:val="00EB484C"/>
    <w:rsid w:val="00EB5B37"/>
    <w:rsid w:val="00EB5DB7"/>
    <w:rsid w:val="00EB5FC0"/>
    <w:rsid w:val="00EB652A"/>
    <w:rsid w:val="00EB751C"/>
    <w:rsid w:val="00EB782B"/>
    <w:rsid w:val="00EB7888"/>
    <w:rsid w:val="00EB7DF0"/>
    <w:rsid w:val="00EC1351"/>
    <w:rsid w:val="00EC26AE"/>
    <w:rsid w:val="00EC2802"/>
    <w:rsid w:val="00EC2E8A"/>
    <w:rsid w:val="00EC3EE4"/>
    <w:rsid w:val="00EC43F0"/>
    <w:rsid w:val="00EC53A7"/>
    <w:rsid w:val="00EC5C18"/>
    <w:rsid w:val="00EC5C78"/>
    <w:rsid w:val="00EC60DB"/>
    <w:rsid w:val="00EC66E0"/>
    <w:rsid w:val="00EC6B90"/>
    <w:rsid w:val="00EC6BC5"/>
    <w:rsid w:val="00EC6CE9"/>
    <w:rsid w:val="00EC7866"/>
    <w:rsid w:val="00ED042C"/>
    <w:rsid w:val="00ED0623"/>
    <w:rsid w:val="00ED0A77"/>
    <w:rsid w:val="00ED14FE"/>
    <w:rsid w:val="00ED17DD"/>
    <w:rsid w:val="00ED1EAE"/>
    <w:rsid w:val="00ED2570"/>
    <w:rsid w:val="00ED28B6"/>
    <w:rsid w:val="00ED336E"/>
    <w:rsid w:val="00ED3439"/>
    <w:rsid w:val="00ED3837"/>
    <w:rsid w:val="00ED4118"/>
    <w:rsid w:val="00ED4211"/>
    <w:rsid w:val="00ED49F1"/>
    <w:rsid w:val="00ED4D0C"/>
    <w:rsid w:val="00ED593A"/>
    <w:rsid w:val="00ED5B0F"/>
    <w:rsid w:val="00ED61E6"/>
    <w:rsid w:val="00ED63B6"/>
    <w:rsid w:val="00ED64C8"/>
    <w:rsid w:val="00ED6905"/>
    <w:rsid w:val="00ED766D"/>
    <w:rsid w:val="00EE04EA"/>
    <w:rsid w:val="00EE124B"/>
    <w:rsid w:val="00EE1CB4"/>
    <w:rsid w:val="00EE1F67"/>
    <w:rsid w:val="00EE27E6"/>
    <w:rsid w:val="00EE2879"/>
    <w:rsid w:val="00EE2CD9"/>
    <w:rsid w:val="00EE2D60"/>
    <w:rsid w:val="00EE3428"/>
    <w:rsid w:val="00EE399F"/>
    <w:rsid w:val="00EE3BC9"/>
    <w:rsid w:val="00EE43E1"/>
    <w:rsid w:val="00EE44D3"/>
    <w:rsid w:val="00EE4829"/>
    <w:rsid w:val="00EE482E"/>
    <w:rsid w:val="00EE49F4"/>
    <w:rsid w:val="00EE50E5"/>
    <w:rsid w:val="00EE56FE"/>
    <w:rsid w:val="00EE5AE6"/>
    <w:rsid w:val="00EE6A78"/>
    <w:rsid w:val="00EE7B02"/>
    <w:rsid w:val="00EF041D"/>
    <w:rsid w:val="00EF0A7E"/>
    <w:rsid w:val="00EF0BAC"/>
    <w:rsid w:val="00EF2C21"/>
    <w:rsid w:val="00EF2C5A"/>
    <w:rsid w:val="00EF36EC"/>
    <w:rsid w:val="00EF4540"/>
    <w:rsid w:val="00EF4866"/>
    <w:rsid w:val="00EF4A9E"/>
    <w:rsid w:val="00EF4E6E"/>
    <w:rsid w:val="00EF5382"/>
    <w:rsid w:val="00EF56A3"/>
    <w:rsid w:val="00EF5E4E"/>
    <w:rsid w:val="00EF6936"/>
    <w:rsid w:val="00EF73D0"/>
    <w:rsid w:val="00EF7AB0"/>
    <w:rsid w:val="00F00F41"/>
    <w:rsid w:val="00F011E0"/>
    <w:rsid w:val="00F01572"/>
    <w:rsid w:val="00F01992"/>
    <w:rsid w:val="00F029C3"/>
    <w:rsid w:val="00F02DD6"/>
    <w:rsid w:val="00F033CC"/>
    <w:rsid w:val="00F0347B"/>
    <w:rsid w:val="00F034BF"/>
    <w:rsid w:val="00F03863"/>
    <w:rsid w:val="00F03885"/>
    <w:rsid w:val="00F0410A"/>
    <w:rsid w:val="00F04BD2"/>
    <w:rsid w:val="00F05136"/>
    <w:rsid w:val="00F05392"/>
    <w:rsid w:val="00F0700D"/>
    <w:rsid w:val="00F114F5"/>
    <w:rsid w:val="00F1193D"/>
    <w:rsid w:val="00F11BE7"/>
    <w:rsid w:val="00F11DC0"/>
    <w:rsid w:val="00F12596"/>
    <w:rsid w:val="00F131EB"/>
    <w:rsid w:val="00F1359D"/>
    <w:rsid w:val="00F1396D"/>
    <w:rsid w:val="00F1398E"/>
    <w:rsid w:val="00F13F27"/>
    <w:rsid w:val="00F13F52"/>
    <w:rsid w:val="00F1419F"/>
    <w:rsid w:val="00F16391"/>
    <w:rsid w:val="00F16641"/>
    <w:rsid w:val="00F166DD"/>
    <w:rsid w:val="00F1687D"/>
    <w:rsid w:val="00F17515"/>
    <w:rsid w:val="00F17824"/>
    <w:rsid w:val="00F17880"/>
    <w:rsid w:val="00F2087B"/>
    <w:rsid w:val="00F20948"/>
    <w:rsid w:val="00F20C28"/>
    <w:rsid w:val="00F20D6B"/>
    <w:rsid w:val="00F2225C"/>
    <w:rsid w:val="00F22462"/>
    <w:rsid w:val="00F22775"/>
    <w:rsid w:val="00F2352E"/>
    <w:rsid w:val="00F24004"/>
    <w:rsid w:val="00F24635"/>
    <w:rsid w:val="00F24781"/>
    <w:rsid w:val="00F251C5"/>
    <w:rsid w:val="00F25272"/>
    <w:rsid w:val="00F256DD"/>
    <w:rsid w:val="00F25964"/>
    <w:rsid w:val="00F2736A"/>
    <w:rsid w:val="00F27A61"/>
    <w:rsid w:val="00F3035E"/>
    <w:rsid w:val="00F31402"/>
    <w:rsid w:val="00F31B51"/>
    <w:rsid w:val="00F31BE4"/>
    <w:rsid w:val="00F32C87"/>
    <w:rsid w:val="00F33155"/>
    <w:rsid w:val="00F331D7"/>
    <w:rsid w:val="00F333A1"/>
    <w:rsid w:val="00F33B5A"/>
    <w:rsid w:val="00F33C48"/>
    <w:rsid w:val="00F351FC"/>
    <w:rsid w:val="00F3555B"/>
    <w:rsid w:val="00F3587E"/>
    <w:rsid w:val="00F35BEC"/>
    <w:rsid w:val="00F36030"/>
    <w:rsid w:val="00F3613B"/>
    <w:rsid w:val="00F3653F"/>
    <w:rsid w:val="00F366DA"/>
    <w:rsid w:val="00F36A92"/>
    <w:rsid w:val="00F37114"/>
    <w:rsid w:val="00F400DF"/>
    <w:rsid w:val="00F400F2"/>
    <w:rsid w:val="00F401FD"/>
    <w:rsid w:val="00F42A0B"/>
    <w:rsid w:val="00F42EDC"/>
    <w:rsid w:val="00F43363"/>
    <w:rsid w:val="00F43688"/>
    <w:rsid w:val="00F43A29"/>
    <w:rsid w:val="00F43E41"/>
    <w:rsid w:val="00F443A0"/>
    <w:rsid w:val="00F449AE"/>
    <w:rsid w:val="00F45986"/>
    <w:rsid w:val="00F4599B"/>
    <w:rsid w:val="00F45FF1"/>
    <w:rsid w:val="00F460B9"/>
    <w:rsid w:val="00F46292"/>
    <w:rsid w:val="00F465C2"/>
    <w:rsid w:val="00F46F8E"/>
    <w:rsid w:val="00F47C77"/>
    <w:rsid w:val="00F50021"/>
    <w:rsid w:val="00F50430"/>
    <w:rsid w:val="00F509DC"/>
    <w:rsid w:val="00F5121E"/>
    <w:rsid w:val="00F5123E"/>
    <w:rsid w:val="00F514FC"/>
    <w:rsid w:val="00F51798"/>
    <w:rsid w:val="00F528D2"/>
    <w:rsid w:val="00F5298E"/>
    <w:rsid w:val="00F52A66"/>
    <w:rsid w:val="00F52AF6"/>
    <w:rsid w:val="00F532CE"/>
    <w:rsid w:val="00F5351B"/>
    <w:rsid w:val="00F54F84"/>
    <w:rsid w:val="00F5570E"/>
    <w:rsid w:val="00F55BB1"/>
    <w:rsid w:val="00F55DAF"/>
    <w:rsid w:val="00F5675D"/>
    <w:rsid w:val="00F56922"/>
    <w:rsid w:val="00F57172"/>
    <w:rsid w:val="00F57266"/>
    <w:rsid w:val="00F60A15"/>
    <w:rsid w:val="00F6110E"/>
    <w:rsid w:val="00F618EA"/>
    <w:rsid w:val="00F61C67"/>
    <w:rsid w:val="00F6209E"/>
    <w:rsid w:val="00F6276F"/>
    <w:rsid w:val="00F62D74"/>
    <w:rsid w:val="00F62D9A"/>
    <w:rsid w:val="00F63073"/>
    <w:rsid w:val="00F630CA"/>
    <w:rsid w:val="00F63245"/>
    <w:rsid w:val="00F634FF"/>
    <w:rsid w:val="00F63F5D"/>
    <w:rsid w:val="00F643C2"/>
    <w:rsid w:val="00F64BF9"/>
    <w:rsid w:val="00F6530B"/>
    <w:rsid w:val="00F65882"/>
    <w:rsid w:val="00F662E2"/>
    <w:rsid w:val="00F66492"/>
    <w:rsid w:val="00F665C6"/>
    <w:rsid w:val="00F66A96"/>
    <w:rsid w:val="00F66B02"/>
    <w:rsid w:val="00F6739B"/>
    <w:rsid w:val="00F677AA"/>
    <w:rsid w:val="00F67C28"/>
    <w:rsid w:val="00F709FC"/>
    <w:rsid w:val="00F70E82"/>
    <w:rsid w:val="00F71FB8"/>
    <w:rsid w:val="00F727A1"/>
    <w:rsid w:val="00F73EBD"/>
    <w:rsid w:val="00F7472E"/>
    <w:rsid w:val="00F74912"/>
    <w:rsid w:val="00F74B48"/>
    <w:rsid w:val="00F74E8D"/>
    <w:rsid w:val="00F74EC2"/>
    <w:rsid w:val="00F759D2"/>
    <w:rsid w:val="00F75AA4"/>
    <w:rsid w:val="00F75BF6"/>
    <w:rsid w:val="00F76DC0"/>
    <w:rsid w:val="00F76FE1"/>
    <w:rsid w:val="00F770B5"/>
    <w:rsid w:val="00F77C5D"/>
    <w:rsid w:val="00F77E46"/>
    <w:rsid w:val="00F80927"/>
    <w:rsid w:val="00F816D7"/>
    <w:rsid w:val="00F82466"/>
    <w:rsid w:val="00F82C87"/>
    <w:rsid w:val="00F82E3D"/>
    <w:rsid w:val="00F83358"/>
    <w:rsid w:val="00F8356A"/>
    <w:rsid w:val="00F84A4D"/>
    <w:rsid w:val="00F84C4E"/>
    <w:rsid w:val="00F851DE"/>
    <w:rsid w:val="00F85B42"/>
    <w:rsid w:val="00F85B4C"/>
    <w:rsid w:val="00F85F1B"/>
    <w:rsid w:val="00F866C7"/>
    <w:rsid w:val="00F86DB1"/>
    <w:rsid w:val="00F87773"/>
    <w:rsid w:val="00F879F4"/>
    <w:rsid w:val="00F87A39"/>
    <w:rsid w:val="00F87AD5"/>
    <w:rsid w:val="00F87DD2"/>
    <w:rsid w:val="00F90611"/>
    <w:rsid w:val="00F908F9"/>
    <w:rsid w:val="00F91607"/>
    <w:rsid w:val="00F919B6"/>
    <w:rsid w:val="00F91BFC"/>
    <w:rsid w:val="00F92AC1"/>
    <w:rsid w:val="00F92EA8"/>
    <w:rsid w:val="00F94EC1"/>
    <w:rsid w:val="00F96322"/>
    <w:rsid w:val="00F963F4"/>
    <w:rsid w:val="00F96EA3"/>
    <w:rsid w:val="00F97611"/>
    <w:rsid w:val="00F9765C"/>
    <w:rsid w:val="00F97D24"/>
    <w:rsid w:val="00FA024E"/>
    <w:rsid w:val="00FA07D4"/>
    <w:rsid w:val="00FA0837"/>
    <w:rsid w:val="00FA1B72"/>
    <w:rsid w:val="00FA28C4"/>
    <w:rsid w:val="00FA2DD9"/>
    <w:rsid w:val="00FA53AE"/>
    <w:rsid w:val="00FA5593"/>
    <w:rsid w:val="00FA5E12"/>
    <w:rsid w:val="00FA656D"/>
    <w:rsid w:val="00FA669D"/>
    <w:rsid w:val="00FA6847"/>
    <w:rsid w:val="00FA6B66"/>
    <w:rsid w:val="00FA7C9A"/>
    <w:rsid w:val="00FB1760"/>
    <w:rsid w:val="00FB17A5"/>
    <w:rsid w:val="00FB2219"/>
    <w:rsid w:val="00FB27CA"/>
    <w:rsid w:val="00FB297F"/>
    <w:rsid w:val="00FB31C4"/>
    <w:rsid w:val="00FB3518"/>
    <w:rsid w:val="00FB3583"/>
    <w:rsid w:val="00FB4172"/>
    <w:rsid w:val="00FB4711"/>
    <w:rsid w:val="00FB4C61"/>
    <w:rsid w:val="00FB5522"/>
    <w:rsid w:val="00FB6E19"/>
    <w:rsid w:val="00FB709A"/>
    <w:rsid w:val="00FC01F8"/>
    <w:rsid w:val="00FC1384"/>
    <w:rsid w:val="00FC1D23"/>
    <w:rsid w:val="00FC1F34"/>
    <w:rsid w:val="00FC2636"/>
    <w:rsid w:val="00FC277C"/>
    <w:rsid w:val="00FC2EA5"/>
    <w:rsid w:val="00FC30FC"/>
    <w:rsid w:val="00FC3247"/>
    <w:rsid w:val="00FC334E"/>
    <w:rsid w:val="00FC39DA"/>
    <w:rsid w:val="00FC3A40"/>
    <w:rsid w:val="00FC50DE"/>
    <w:rsid w:val="00FC6C41"/>
    <w:rsid w:val="00FC75E4"/>
    <w:rsid w:val="00FC797F"/>
    <w:rsid w:val="00FD041F"/>
    <w:rsid w:val="00FD06A9"/>
    <w:rsid w:val="00FD0A14"/>
    <w:rsid w:val="00FD1758"/>
    <w:rsid w:val="00FD17DB"/>
    <w:rsid w:val="00FD19D3"/>
    <w:rsid w:val="00FD1C9A"/>
    <w:rsid w:val="00FD1E19"/>
    <w:rsid w:val="00FD2054"/>
    <w:rsid w:val="00FD24F9"/>
    <w:rsid w:val="00FD2766"/>
    <w:rsid w:val="00FD3A4E"/>
    <w:rsid w:val="00FD3D64"/>
    <w:rsid w:val="00FD3D8F"/>
    <w:rsid w:val="00FD3DFB"/>
    <w:rsid w:val="00FD4262"/>
    <w:rsid w:val="00FD44DF"/>
    <w:rsid w:val="00FD45CB"/>
    <w:rsid w:val="00FD47BF"/>
    <w:rsid w:val="00FD635B"/>
    <w:rsid w:val="00FD6760"/>
    <w:rsid w:val="00FD77FE"/>
    <w:rsid w:val="00FE0274"/>
    <w:rsid w:val="00FE02AC"/>
    <w:rsid w:val="00FE046B"/>
    <w:rsid w:val="00FE0523"/>
    <w:rsid w:val="00FE061F"/>
    <w:rsid w:val="00FE0AAC"/>
    <w:rsid w:val="00FE0C0B"/>
    <w:rsid w:val="00FE1821"/>
    <w:rsid w:val="00FE1A5B"/>
    <w:rsid w:val="00FE1D33"/>
    <w:rsid w:val="00FE20ED"/>
    <w:rsid w:val="00FE23E7"/>
    <w:rsid w:val="00FE25DD"/>
    <w:rsid w:val="00FE317C"/>
    <w:rsid w:val="00FE4346"/>
    <w:rsid w:val="00FE4ADB"/>
    <w:rsid w:val="00FE570B"/>
    <w:rsid w:val="00FE639C"/>
    <w:rsid w:val="00FE695C"/>
    <w:rsid w:val="00FE6B14"/>
    <w:rsid w:val="00FE6D71"/>
    <w:rsid w:val="00FE6E97"/>
    <w:rsid w:val="00FE708E"/>
    <w:rsid w:val="00FE7488"/>
    <w:rsid w:val="00FE77A6"/>
    <w:rsid w:val="00FE7D5B"/>
    <w:rsid w:val="00FF1CDF"/>
    <w:rsid w:val="00FF24C4"/>
    <w:rsid w:val="00FF2E98"/>
    <w:rsid w:val="00FF3769"/>
    <w:rsid w:val="00FF3DDA"/>
    <w:rsid w:val="00FF469F"/>
    <w:rsid w:val="00FF59C4"/>
    <w:rsid w:val="00FF68C3"/>
    <w:rsid w:val="00FF7A6B"/>
    <w:rsid w:val="00FF7AA6"/>
    <w:rsid w:val="00FF7E0D"/>
    <w:rsid w:val="0105D072"/>
    <w:rsid w:val="017D193B"/>
    <w:rsid w:val="01AD51FB"/>
    <w:rsid w:val="01B7502E"/>
    <w:rsid w:val="01E6DD51"/>
    <w:rsid w:val="01F9681C"/>
    <w:rsid w:val="020C59F3"/>
    <w:rsid w:val="0224AB6A"/>
    <w:rsid w:val="022A2C7E"/>
    <w:rsid w:val="023BC631"/>
    <w:rsid w:val="0261D306"/>
    <w:rsid w:val="0271FD27"/>
    <w:rsid w:val="0282DDDC"/>
    <w:rsid w:val="02EF2B7A"/>
    <w:rsid w:val="030033E9"/>
    <w:rsid w:val="033338F3"/>
    <w:rsid w:val="0333BD7F"/>
    <w:rsid w:val="03577FE1"/>
    <w:rsid w:val="03626ACE"/>
    <w:rsid w:val="037799E0"/>
    <w:rsid w:val="037909A3"/>
    <w:rsid w:val="037C3B69"/>
    <w:rsid w:val="03A17AE5"/>
    <w:rsid w:val="03B70EA9"/>
    <w:rsid w:val="03C110E2"/>
    <w:rsid w:val="03E5D315"/>
    <w:rsid w:val="0418B067"/>
    <w:rsid w:val="0436A9A1"/>
    <w:rsid w:val="0484F488"/>
    <w:rsid w:val="0491B554"/>
    <w:rsid w:val="04D5E587"/>
    <w:rsid w:val="04EFEB77"/>
    <w:rsid w:val="051306E4"/>
    <w:rsid w:val="05146A22"/>
    <w:rsid w:val="0528FCEE"/>
    <w:rsid w:val="052A0225"/>
    <w:rsid w:val="053E35D1"/>
    <w:rsid w:val="0546BBC9"/>
    <w:rsid w:val="055673A3"/>
    <w:rsid w:val="0585656E"/>
    <w:rsid w:val="059F39AC"/>
    <w:rsid w:val="05AF9E12"/>
    <w:rsid w:val="05B4601E"/>
    <w:rsid w:val="05E2A3DF"/>
    <w:rsid w:val="06381F97"/>
    <w:rsid w:val="067330C2"/>
    <w:rsid w:val="0699B071"/>
    <w:rsid w:val="06BEE876"/>
    <w:rsid w:val="06F81F0C"/>
    <w:rsid w:val="07101191"/>
    <w:rsid w:val="0757DD6B"/>
    <w:rsid w:val="079F7FC2"/>
    <w:rsid w:val="07C8327C"/>
    <w:rsid w:val="07D1439C"/>
    <w:rsid w:val="081B5DA1"/>
    <w:rsid w:val="081E21BF"/>
    <w:rsid w:val="0837BEB2"/>
    <w:rsid w:val="087E5C8B"/>
    <w:rsid w:val="088A3204"/>
    <w:rsid w:val="08918F95"/>
    <w:rsid w:val="08A69D08"/>
    <w:rsid w:val="08CFB2C9"/>
    <w:rsid w:val="08D2D883"/>
    <w:rsid w:val="08E02784"/>
    <w:rsid w:val="08E6C70F"/>
    <w:rsid w:val="08F7D9A4"/>
    <w:rsid w:val="090E9A92"/>
    <w:rsid w:val="093515BC"/>
    <w:rsid w:val="0966CA4D"/>
    <w:rsid w:val="097B244D"/>
    <w:rsid w:val="09A07BA7"/>
    <w:rsid w:val="09A37524"/>
    <w:rsid w:val="09C0DD4B"/>
    <w:rsid w:val="09EC905D"/>
    <w:rsid w:val="09F7D8A6"/>
    <w:rsid w:val="0A0F6BF3"/>
    <w:rsid w:val="0A114C9A"/>
    <w:rsid w:val="0A3FC10D"/>
    <w:rsid w:val="0A4C1677"/>
    <w:rsid w:val="0A6E1CA3"/>
    <w:rsid w:val="0AACB2B8"/>
    <w:rsid w:val="0AD3BEAC"/>
    <w:rsid w:val="0AF8A15A"/>
    <w:rsid w:val="0B026A5F"/>
    <w:rsid w:val="0B04D952"/>
    <w:rsid w:val="0B08E45E"/>
    <w:rsid w:val="0B1869C5"/>
    <w:rsid w:val="0B1C6919"/>
    <w:rsid w:val="0B4FE14D"/>
    <w:rsid w:val="0B563717"/>
    <w:rsid w:val="0B5CD768"/>
    <w:rsid w:val="0B92319D"/>
    <w:rsid w:val="0B9FEBF5"/>
    <w:rsid w:val="0BA108D7"/>
    <w:rsid w:val="0BC92F6C"/>
    <w:rsid w:val="0BDE3DCA"/>
    <w:rsid w:val="0BECBE03"/>
    <w:rsid w:val="0C0BA5A6"/>
    <w:rsid w:val="0C374842"/>
    <w:rsid w:val="0C8A061E"/>
    <w:rsid w:val="0C989954"/>
    <w:rsid w:val="0D485D2B"/>
    <w:rsid w:val="0D5751FB"/>
    <w:rsid w:val="0D5B029D"/>
    <w:rsid w:val="0D5DA533"/>
    <w:rsid w:val="0D69CD04"/>
    <w:rsid w:val="0D6E93EE"/>
    <w:rsid w:val="0DABEE0C"/>
    <w:rsid w:val="0DAE730A"/>
    <w:rsid w:val="0E19F2E8"/>
    <w:rsid w:val="0E2057DE"/>
    <w:rsid w:val="0E2A91B3"/>
    <w:rsid w:val="0E531EE0"/>
    <w:rsid w:val="0E698FEB"/>
    <w:rsid w:val="0E87D1FB"/>
    <w:rsid w:val="0EB2DCA8"/>
    <w:rsid w:val="0EBEEE10"/>
    <w:rsid w:val="0EC1DB43"/>
    <w:rsid w:val="0EF3225C"/>
    <w:rsid w:val="0F15DE8C"/>
    <w:rsid w:val="0F1CF971"/>
    <w:rsid w:val="0F411F5C"/>
    <w:rsid w:val="0F605570"/>
    <w:rsid w:val="0F82DFE9"/>
    <w:rsid w:val="0F880641"/>
    <w:rsid w:val="0F8D09C4"/>
    <w:rsid w:val="0F952C2B"/>
    <w:rsid w:val="0FC8715F"/>
    <w:rsid w:val="0FDDEE6B"/>
    <w:rsid w:val="0FDF01DD"/>
    <w:rsid w:val="1036D7DA"/>
    <w:rsid w:val="1062A2F0"/>
    <w:rsid w:val="10B8C9D2"/>
    <w:rsid w:val="10C236A1"/>
    <w:rsid w:val="10C2DE92"/>
    <w:rsid w:val="10D01D36"/>
    <w:rsid w:val="10F6181A"/>
    <w:rsid w:val="10F80351"/>
    <w:rsid w:val="10FE6B29"/>
    <w:rsid w:val="114F9DEB"/>
    <w:rsid w:val="117301CE"/>
    <w:rsid w:val="117B4FA8"/>
    <w:rsid w:val="11A92CE1"/>
    <w:rsid w:val="11DEA0F8"/>
    <w:rsid w:val="11EE09E8"/>
    <w:rsid w:val="11F01F2D"/>
    <w:rsid w:val="11FE7C58"/>
    <w:rsid w:val="121C1709"/>
    <w:rsid w:val="12359ECE"/>
    <w:rsid w:val="12549A33"/>
    <w:rsid w:val="125AD441"/>
    <w:rsid w:val="131F1295"/>
    <w:rsid w:val="1329297C"/>
    <w:rsid w:val="133401E0"/>
    <w:rsid w:val="134E9E18"/>
    <w:rsid w:val="136E7FC4"/>
    <w:rsid w:val="1375111A"/>
    <w:rsid w:val="13B103A4"/>
    <w:rsid w:val="13BF8C35"/>
    <w:rsid w:val="13C057F8"/>
    <w:rsid w:val="13F06A94"/>
    <w:rsid w:val="142DB8DC"/>
    <w:rsid w:val="14BCCA27"/>
    <w:rsid w:val="14FB50EA"/>
    <w:rsid w:val="1513FADD"/>
    <w:rsid w:val="15493F30"/>
    <w:rsid w:val="15656BCD"/>
    <w:rsid w:val="156DE629"/>
    <w:rsid w:val="1574DEE9"/>
    <w:rsid w:val="15934693"/>
    <w:rsid w:val="1597C740"/>
    <w:rsid w:val="15CD98F4"/>
    <w:rsid w:val="15D1DC4C"/>
    <w:rsid w:val="163BAE10"/>
    <w:rsid w:val="164A785D"/>
    <w:rsid w:val="169F816B"/>
    <w:rsid w:val="16DBF713"/>
    <w:rsid w:val="16F84CB3"/>
    <w:rsid w:val="1710AF4A"/>
    <w:rsid w:val="172FB62D"/>
    <w:rsid w:val="173DD357"/>
    <w:rsid w:val="174A1F07"/>
    <w:rsid w:val="17E35C5A"/>
    <w:rsid w:val="1803E47B"/>
    <w:rsid w:val="1804C13D"/>
    <w:rsid w:val="180803F0"/>
    <w:rsid w:val="181AC458"/>
    <w:rsid w:val="1821572A"/>
    <w:rsid w:val="18388DAB"/>
    <w:rsid w:val="184DE27C"/>
    <w:rsid w:val="18CD4886"/>
    <w:rsid w:val="18EB87E6"/>
    <w:rsid w:val="1927CE7B"/>
    <w:rsid w:val="1929F99E"/>
    <w:rsid w:val="19429144"/>
    <w:rsid w:val="197ED2C5"/>
    <w:rsid w:val="198F6E94"/>
    <w:rsid w:val="19B73E0F"/>
    <w:rsid w:val="1A214D7B"/>
    <w:rsid w:val="1A6D49F6"/>
    <w:rsid w:val="1A7325E9"/>
    <w:rsid w:val="1ADC4321"/>
    <w:rsid w:val="1BE012FB"/>
    <w:rsid w:val="1BE4A6C6"/>
    <w:rsid w:val="1BE508D2"/>
    <w:rsid w:val="1BF80CAE"/>
    <w:rsid w:val="1CBE7220"/>
    <w:rsid w:val="1CE79FD0"/>
    <w:rsid w:val="1CFE3877"/>
    <w:rsid w:val="1D34E0C3"/>
    <w:rsid w:val="1D666E7B"/>
    <w:rsid w:val="1D76404A"/>
    <w:rsid w:val="1DDC700E"/>
    <w:rsid w:val="1DE93C6D"/>
    <w:rsid w:val="1DEFC963"/>
    <w:rsid w:val="1E441618"/>
    <w:rsid w:val="1E73947D"/>
    <w:rsid w:val="1E7B0770"/>
    <w:rsid w:val="1E9F240F"/>
    <w:rsid w:val="1F0BAF5F"/>
    <w:rsid w:val="1F1210AB"/>
    <w:rsid w:val="1F252815"/>
    <w:rsid w:val="1F2A4781"/>
    <w:rsid w:val="1F73DF24"/>
    <w:rsid w:val="1F82E658"/>
    <w:rsid w:val="1FFEB38B"/>
    <w:rsid w:val="201C18C2"/>
    <w:rsid w:val="20362F1F"/>
    <w:rsid w:val="2041D445"/>
    <w:rsid w:val="20D1DA2A"/>
    <w:rsid w:val="2103D091"/>
    <w:rsid w:val="21060E4B"/>
    <w:rsid w:val="210AD168"/>
    <w:rsid w:val="210C125C"/>
    <w:rsid w:val="2142D8E6"/>
    <w:rsid w:val="21AA5717"/>
    <w:rsid w:val="21B2F501"/>
    <w:rsid w:val="21BA6F2D"/>
    <w:rsid w:val="21BF955E"/>
    <w:rsid w:val="21CA08FA"/>
    <w:rsid w:val="21E26F38"/>
    <w:rsid w:val="220A3167"/>
    <w:rsid w:val="22251C43"/>
    <w:rsid w:val="222E5BAB"/>
    <w:rsid w:val="22470ABE"/>
    <w:rsid w:val="22526841"/>
    <w:rsid w:val="228679D5"/>
    <w:rsid w:val="22A3F897"/>
    <w:rsid w:val="22BD40BC"/>
    <w:rsid w:val="22C9FB8B"/>
    <w:rsid w:val="22CDF4FD"/>
    <w:rsid w:val="22CE1B38"/>
    <w:rsid w:val="22D1B937"/>
    <w:rsid w:val="2310F1B0"/>
    <w:rsid w:val="23183BC8"/>
    <w:rsid w:val="23430B01"/>
    <w:rsid w:val="237796E7"/>
    <w:rsid w:val="23AE4128"/>
    <w:rsid w:val="23EE38A2"/>
    <w:rsid w:val="23FEE6CD"/>
    <w:rsid w:val="24109667"/>
    <w:rsid w:val="2433C1A5"/>
    <w:rsid w:val="243844A6"/>
    <w:rsid w:val="246019C9"/>
    <w:rsid w:val="24BBB448"/>
    <w:rsid w:val="24EBC403"/>
    <w:rsid w:val="24FA490E"/>
    <w:rsid w:val="24FCFB3C"/>
    <w:rsid w:val="250243C4"/>
    <w:rsid w:val="2565E685"/>
    <w:rsid w:val="257AF0E3"/>
    <w:rsid w:val="2599DEAC"/>
    <w:rsid w:val="25B40EBE"/>
    <w:rsid w:val="25B5B83D"/>
    <w:rsid w:val="25BB20E8"/>
    <w:rsid w:val="25E72D0F"/>
    <w:rsid w:val="261E9226"/>
    <w:rsid w:val="262F073F"/>
    <w:rsid w:val="2646E9DB"/>
    <w:rsid w:val="27287143"/>
    <w:rsid w:val="27388094"/>
    <w:rsid w:val="2747E51A"/>
    <w:rsid w:val="274FDF1F"/>
    <w:rsid w:val="276D6249"/>
    <w:rsid w:val="278BBDFD"/>
    <w:rsid w:val="27AC6D3C"/>
    <w:rsid w:val="28016DAA"/>
    <w:rsid w:val="28063494"/>
    <w:rsid w:val="2814FCD7"/>
    <w:rsid w:val="281C2D35"/>
    <w:rsid w:val="28439F7B"/>
    <w:rsid w:val="28599E42"/>
    <w:rsid w:val="286AB949"/>
    <w:rsid w:val="2875BFE3"/>
    <w:rsid w:val="287C0F49"/>
    <w:rsid w:val="28A91CDB"/>
    <w:rsid w:val="28AD3FC3"/>
    <w:rsid w:val="28B1B514"/>
    <w:rsid w:val="28BEFD69"/>
    <w:rsid w:val="28ED58FF"/>
    <w:rsid w:val="291F22B5"/>
    <w:rsid w:val="2944C206"/>
    <w:rsid w:val="29495E70"/>
    <w:rsid w:val="2970F1C7"/>
    <w:rsid w:val="297E3AF6"/>
    <w:rsid w:val="2995B448"/>
    <w:rsid w:val="29C5DE41"/>
    <w:rsid w:val="29D8C002"/>
    <w:rsid w:val="2A0285EC"/>
    <w:rsid w:val="2A0357E4"/>
    <w:rsid w:val="2A05F1F3"/>
    <w:rsid w:val="2A2F4FE0"/>
    <w:rsid w:val="2A342C66"/>
    <w:rsid w:val="2A95F631"/>
    <w:rsid w:val="2AAA1C9E"/>
    <w:rsid w:val="2AAE3D38"/>
    <w:rsid w:val="2AE903D7"/>
    <w:rsid w:val="2B1F13B4"/>
    <w:rsid w:val="2B1F9D2C"/>
    <w:rsid w:val="2B362362"/>
    <w:rsid w:val="2B525A67"/>
    <w:rsid w:val="2B5618A1"/>
    <w:rsid w:val="2B56DD91"/>
    <w:rsid w:val="2B723B7C"/>
    <w:rsid w:val="2B749063"/>
    <w:rsid w:val="2B9983ED"/>
    <w:rsid w:val="2BD4D87D"/>
    <w:rsid w:val="2BD765DE"/>
    <w:rsid w:val="2C2C2274"/>
    <w:rsid w:val="2C70CFB2"/>
    <w:rsid w:val="2C775C7E"/>
    <w:rsid w:val="2C9D206C"/>
    <w:rsid w:val="2CA0AACD"/>
    <w:rsid w:val="2CAF23E3"/>
    <w:rsid w:val="2CEE7E3B"/>
    <w:rsid w:val="2D043EAB"/>
    <w:rsid w:val="2D131DBA"/>
    <w:rsid w:val="2D13E708"/>
    <w:rsid w:val="2D511413"/>
    <w:rsid w:val="2D51A645"/>
    <w:rsid w:val="2D57A2C2"/>
    <w:rsid w:val="2D9303EA"/>
    <w:rsid w:val="2D9BADF4"/>
    <w:rsid w:val="2DA7C218"/>
    <w:rsid w:val="2DCC9F89"/>
    <w:rsid w:val="2DF13A95"/>
    <w:rsid w:val="2E0FBC48"/>
    <w:rsid w:val="2E2B64C9"/>
    <w:rsid w:val="2E9FAF80"/>
    <w:rsid w:val="2F1D90F6"/>
    <w:rsid w:val="2F278E8D"/>
    <w:rsid w:val="2F86BAB3"/>
    <w:rsid w:val="2F871422"/>
    <w:rsid w:val="2FED6E9D"/>
    <w:rsid w:val="3009C92D"/>
    <w:rsid w:val="301BF768"/>
    <w:rsid w:val="302F5710"/>
    <w:rsid w:val="30409085"/>
    <w:rsid w:val="304B7E18"/>
    <w:rsid w:val="3050E9B7"/>
    <w:rsid w:val="30AAA24B"/>
    <w:rsid w:val="310174DA"/>
    <w:rsid w:val="3151A047"/>
    <w:rsid w:val="31948481"/>
    <w:rsid w:val="31C93207"/>
    <w:rsid w:val="31F03169"/>
    <w:rsid w:val="3228EFB4"/>
    <w:rsid w:val="32364103"/>
    <w:rsid w:val="32A70AE6"/>
    <w:rsid w:val="32CBE009"/>
    <w:rsid w:val="32EC3625"/>
    <w:rsid w:val="3315D390"/>
    <w:rsid w:val="3344EB83"/>
    <w:rsid w:val="334EE998"/>
    <w:rsid w:val="336DCE8C"/>
    <w:rsid w:val="336EBFF3"/>
    <w:rsid w:val="33BD86A3"/>
    <w:rsid w:val="33D9C55B"/>
    <w:rsid w:val="3415A040"/>
    <w:rsid w:val="3489F718"/>
    <w:rsid w:val="349AC1E0"/>
    <w:rsid w:val="349C8D5A"/>
    <w:rsid w:val="34B114EF"/>
    <w:rsid w:val="34B4F970"/>
    <w:rsid w:val="34F4EF76"/>
    <w:rsid w:val="34F57303"/>
    <w:rsid w:val="3502DB0C"/>
    <w:rsid w:val="35245ADA"/>
    <w:rsid w:val="3551CCEC"/>
    <w:rsid w:val="356264AE"/>
    <w:rsid w:val="35745FE3"/>
    <w:rsid w:val="357D518F"/>
    <w:rsid w:val="358F237E"/>
    <w:rsid w:val="359D8071"/>
    <w:rsid w:val="35F543F1"/>
    <w:rsid w:val="360A6B69"/>
    <w:rsid w:val="361A01F0"/>
    <w:rsid w:val="36299F95"/>
    <w:rsid w:val="364FCDB2"/>
    <w:rsid w:val="36599C46"/>
    <w:rsid w:val="367BC113"/>
    <w:rsid w:val="36AA1237"/>
    <w:rsid w:val="36F86D7C"/>
    <w:rsid w:val="3728A2DB"/>
    <w:rsid w:val="37324D07"/>
    <w:rsid w:val="373950D2"/>
    <w:rsid w:val="374C84E2"/>
    <w:rsid w:val="375612C6"/>
    <w:rsid w:val="37799B90"/>
    <w:rsid w:val="378A2622"/>
    <w:rsid w:val="37A6D578"/>
    <w:rsid w:val="37BA2B0A"/>
    <w:rsid w:val="37F16E4C"/>
    <w:rsid w:val="37FE8310"/>
    <w:rsid w:val="3858D5E2"/>
    <w:rsid w:val="38768A2B"/>
    <w:rsid w:val="38CF2474"/>
    <w:rsid w:val="390B5467"/>
    <w:rsid w:val="394A5CA2"/>
    <w:rsid w:val="396047D4"/>
    <w:rsid w:val="3967C27B"/>
    <w:rsid w:val="397FAC51"/>
    <w:rsid w:val="39C2CD4E"/>
    <w:rsid w:val="39DE175F"/>
    <w:rsid w:val="3A01743F"/>
    <w:rsid w:val="3A03F87B"/>
    <w:rsid w:val="3A7B8B76"/>
    <w:rsid w:val="3AA6A280"/>
    <w:rsid w:val="3AB04BF4"/>
    <w:rsid w:val="3ADF5A30"/>
    <w:rsid w:val="3AFEC450"/>
    <w:rsid w:val="3B04222B"/>
    <w:rsid w:val="3B107067"/>
    <w:rsid w:val="3B292D39"/>
    <w:rsid w:val="3B885745"/>
    <w:rsid w:val="3B92FA35"/>
    <w:rsid w:val="3B93BD08"/>
    <w:rsid w:val="3BADB547"/>
    <w:rsid w:val="3BE2EBA1"/>
    <w:rsid w:val="3C29CCCC"/>
    <w:rsid w:val="3C51286A"/>
    <w:rsid w:val="3C8391D1"/>
    <w:rsid w:val="3C8B7FA6"/>
    <w:rsid w:val="3C9452EE"/>
    <w:rsid w:val="3C9AC6AB"/>
    <w:rsid w:val="3CA279AB"/>
    <w:rsid w:val="3CCCCC0D"/>
    <w:rsid w:val="3CDAF0C7"/>
    <w:rsid w:val="3D11D284"/>
    <w:rsid w:val="3D15B821"/>
    <w:rsid w:val="3D391501"/>
    <w:rsid w:val="3D579A33"/>
    <w:rsid w:val="3D66FFFE"/>
    <w:rsid w:val="3D6AAA7D"/>
    <w:rsid w:val="3D7335D1"/>
    <w:rsid w:val="3DC59D2D"/>
    <w:rsid w:val="3DDD31F3"/>
    <w:rsid w:val="3DFD2D34"/>
    <w:rsid w:val="3E2AF2F5"/>
    <w:rsid w:val="3E30B71A"/>
    <w:rsid w:val="3E78EA75"/>
    <w:rsid w:val="3EAA3C3C"/>
    <w:rsid w:val="3EAD2C13"/>
    <w:rsid w:val="3EAF2517"/>
    <w:rsid w:val="3EB29BCF"/>
    <w:rsid w:val="3EC5AA52"/>
    <w:rsid w:val="3EE35238"/>
    <w:rsid w:val="3F088725"/>
    <w:rsid w:val="3F1FA4C5"/>
    <w:rsid w:val="3F741AF5"/>
    <w:rsid w:val="3F790254"/>
    <w:rsid w:val="3FC1DAA8"/>
    <w:rsid w:val="3FCAB92D"/>
    <w:rsid w:val="401815D6"/>
    <w:rsid w:val="403AD206"/>
    <w:rsid w:val="405FE33A"/>
    <w:rsid w:val="406DCB1C"/>
    <w:rsid w:val="40861E5D"/>
    <w:rsid w:val="4092EA83"/>
    <w:rsid w:val="4093DC7E"/>
    <w:rsid w:val="409E4D4D"/>
    <w:rsid w:val="40E12892"/>
    <w:rsid w:val="40E1AE15"/>
    <w:rsid w:val="4109219B"/>
    <w:rsid w:val="412A006B"/>
    <w:rsid w:val="4161C8B0"/>
    <w:rsid w:val="416357C8"/>
    <w:rsid w:val="416F8133"/>
    <w:rsid w:val="417195D9"/>
    <w:rsid w:val="41B1FFCD"/>
    <w:rsid w:val="41CE4A60"/>
    <w:rsid w:val="41D8A5CD"/>
    <w:rsid w:val="41EBF075"/>
    <w:rsid w:val="42A0D5B9"/>
    <w:rsid w:val="42AD1548"/>
    <w:rsid w:val="42AD76E9"/>
    <w:rsid w:val="438D6F95"/>
    <w:rsid w:val="43D5FD15"/>
    <w:rsid w:val="43EEA217"/>
    <w:rsid w:val="4450313B"/>
    <w:rsid w:val="44586CC8"/>
    <w:rsid w:val="445A6251"/>
    <w:rsid w:val="445B9888"/>
    <w:rsid w:val="446DE68B"/>
    <w:rsid w:val="448D0F49"/>
    <w:rsid w:val="44C6634C"/>
    <w:rsid w:val="44E9A08F"/>
    <w:rsid w:val="453983F9"/>
    <w:rsid w:val="4544EC39"/>
    <w:rsid w:val="454B6078"/>
    <w:rsid w:val="455579E1"/>
    <w:rsid w:val="45651E46"/>
    <w:rsid w:val="45D607C1"/>
    <w:rsid w:val="45E248AD"/>
    <w:rsid w:val="4614AD4C"/>
    <w:rsid w:val="466ED1CE"/>
    <w:rsid w:val="467124BE"/>
    <w:rsid w:val="4692E3FC"/>
    <w:rsid w:val="46980612"/>
    <w:rsid w:val="46A074A5"/>
    <w:rsid w:val="4731DF14"/>
    <w:rsid w:val="47375CC7"/>
    <w:rsid w:val="47638AFD"/>
    <w:rsid w:val="47920313"/>
    <w:rsid w:val="47AB87AE"/>
    <w:rsid w:val="48209DB4"/>
    <w:rsid w:val="48485A55"/>
    <w:rsid w:val="4858F709"/>
    <w:rsid w:val="487F2BF6"/>
    <w:rsid w:val="488AC186"/>
    <w:rsid w:val="48C87FE1"/>
    <w:rsid w:val="48C98E05"/>
    <w:rsid w:val="4900FD13"/>
    <w:rsid w:val="4910A0A9"/>
    <w:rsid w:val="49392227"/>
    <w:rsid w:val="498A3A1A"/>
    <w:rsid w:val="49A3E955"/>
    <w:rsid w:val="49ABA925"/>
    <w:rsid w:val="49C47435"/>
    <w:rsid w:val="49C78D4A"/>
    <w:rsid w:val="49E8CF31"/>
    <w:rsid w:val="49F6EBD7"/>
    <w:rsid w:val="4A0B8AA0"/>
    <w:rsid w:val="4A24B2FD"/>
    <w:rsid w:val="4A3CCF5D"/>
    <w:rsid w:val="4AA42035"/>
    <w:rsid w:val="4AD52111"/>
    <w:rsid w:val="4AFE8FF2"/>
    <w:rsid w:val="4B0E3D4B"/>
    <w:rsid w:val="4B32AB50"/>
    <w:rsid w:val="4B47AB2B"/>
    <w:rsid w:val="4B77D1A9"/>
    <w:rsid w:val="4B8974FC"/>
    <w:rsid w:val="4BA48DE2"/>
    <w:rsid w:val="4BBC1045"/>
    <w:rsid w:val="4BC5FFD3"/>
    <w:rsid w:val="4BF92A69"/>
    <w:rsid w:val="4C41D655"/>
    <w:rsid w:val="4C98212E"/>
    <w:rsid w:val="4CB129BB"/>
    <w:rsid w:val="4CB54B2B"/>
    <w:rsid w:val="4CC1DADC"/>
    <w:rsid w:val="4CD67A4A"/>
    <w:rsid w:val="4CF81B1E"/>
    <w:rsid w:val="4CFA39CA"/>
    <w:rsid w:val="4D2EA310"/>
    <w:rsid w:val="4D65060E"/>
    <w:rsid w:val="4D85114E"/>
    <w:rsid w:val="4DA12098"/>
    <w:rsid w:val="4DA41706"/>
    <w:rsid w:val="4DC23EA4"/>
    <w:rsid w:val="4DC6A3A6"/>
    <w:rsid w:val="4DD7B6F8"/>
    <w:rsid w:val="4DD9CD15"/>
    <w:rsid w:val="4DF3EFA4"/>
    <w:rsid w:val="4E0BE7C1"/>
    <w:rsid w:val="4E1FBF31"/>
    <w:rsid w:val="4E2E399C"/>
    <w:rsid w:val="4E33F18F"/>
    <w:rsid w:val="4E3AD39D"/>
    <w:rsid w:val="4E3ADB80"/>
    <w:rsid w:val="4E7940E2"/>
    <w:rsid w:val="4E81E24C"/>
    <w:rsid w:val="4EAC84C6"/>
    <w:rsid w:val="4EC7DF61"/>
    <w:rsid w:val="4EE96F1A"/>
    <w:rsid w:val="4F0B5559"/>
    <w:rsid w:val="4F29DEA7"/>
    <w:rsid w:val="4FA9F18C"/>
    <w:rsid w:val="4FD68A0F"/>
    <w:rsid w:val="4FECEBED"/>
    <w:rsid w:val="504CB28C"/>
    <w:rsid w:val="506B6A33"/>
    <w:rsid w:val="50BCB210"/>
    <w:rsid w:val="50C29624"/>
    <w:rsid w:val="50EE5B73"/>
    <w:rsid w:val="50FB0E9A"/>
    <w:rsid w:val="5110DB68"/>
    <w:rsid w:val="513C181A"/>
    <w:rsid w:val="51BE0C53"/>
    <w:rsid w:val="51BF2D3D"/>
    <w:rsid w:val="51EE94C5"/>
    <w:rsid w:val="521B21FA"/>
    <w:rsid w:val="525ED9CA"/>
    <w:rsid w:val="5277A253"/>
    <w:rsid w:val="5287CD20"/>
    <w:rsid w:val="52D448AA"/>
    <w:rsid w:val="52D7E87B"/>
    <w:rsid w:val="52E234A9"/>
    <w:rsid w:val="52E2D6D4"/>
    <w:rsid w:val="52E954B0"/>
    <w:rsid w:val="531BC9B6"/>
    <w:rsid w:val="5360D02E"/>
    <w:rsid w:val="536A9D1F"/>
    <w:rsid w:val="53867B48"/>
    <w:rsid w:val="53F452D2"/>
    <w:rsid w:val="5454AA24"/>
    <w:rsid w:val="5473B8DC"/>
    <w:rsid w:val="54794518"/>
    <w:rsid w:val="548E71F8"/>
    <w:rsid w:val="548F6CA3"/>
    <w:rsid w:val="549E7102"/>
    <w:rsid w:val="54C089C3"/>
    <w:rsid w:val="54EDF07D"/>
    <w:rsid w:val="554E2198"/>
    <w:rsid w:val="555EA256"/>
    <w:rsid w:val="5570243C"/>
    <w:rsid w:val="559457A7"/>
    <w:rsid w:val="55B87EC3"/>
    <w:rsid w:val="55BD08DF"/>
    <w:rsid w:val="55E072B0"/>
    <w:rsid w:val="560F893D"/>
    <w:rsid w:val="5611A8B9"/>
    <w:rsid w:val="562AB0C3"/>
    <w:rsid w:val="56427A71"/>
    <w:rsid w:val="566779D4"/>
    <w:rsid w:val="56838C75"/>
    <w:rsid w:val="568CFED3"/>
    <w:rsid w:val="569209F4"/>
    <w:rsid w:val="56B613BA"/>
    <w:rsid w:val="56C67C3E"/>
    <w:rsid w:val="56CE4599"/>
    <w:rsid w:val="56F68562"/>
    <w:rsid w:val="5712101F"/>
    <w:rsid w:val="5727874B"/>
    <w:rsid w:val="5758E5C7"/>
    <w:rsid w:val="575923E7"/>
    <w:rsid w:val="578524A1"/>
    <w:rsid w:val="5798258E"/>
    <w:rsid w:val="57D2E96C"/>
    <w:rsid w:val="57EFD654"/>
    <w:rsid w:val="57F3DC62"/>
    <w:rsid w:val="580AD564"/>
    <w:rsid w:val="58802312"/>
    <w:rsid w:val="58BC7F39"/>
    <w:rsid w:val="58C357AC"/>
    <w:rsid w:val="58DE38B7"/>
    <w:rsid w:val="58F992D2"/>
    <w:rsid w:val="5911FFB1"/>
    <w:rsid w:val="5918221E"/>
    <w:rsid w:val="5945E1CD"/>
    <w:rsid w:val="594729FF"/>
    <w:rsid w:val="59492928"/>
    <w:rsid w:val="597CB1DB"/>
    <w:rsid w:val="5994A974"/>
    <w:rsid w:val="59964BDF"/>
    <w:rsid w:val="59BD4F7F"/>
    <w:rsid w:val="59BE5CC2"/>
    <w:rsid w:val="59FA7D77"/>
    <w:rsid w:val="5A75C71E"/>
    <w:rsid w:val="5A76237E"/>
    <w:rsid w:val="5A7821E0"/>
    <w:rsid w:val="5A794C29"/>
    <w:rsid w:val="5A8AB9AB"/>
    <w:rsid w:val="5AA69A35"/>
    <w:rsid w:val="5ACB0D90"/>
    <w:rsid w:val="5AE519DC"/>
    <w:rsid w:val="5AFDB37C"/>
    <w:rsid w:val="5B238F9E"/>
    <w:rsid w:val="5B826DA0"/>
    <w:rsid w:val="5B888B6B"/>
    <w:rsid w:val="5BEA3F45"/>
    <w:rsid w:val="5BFD7681"/>
    <w:rsid w:val="5C09367F"/>
    <w:rsid w:val="5C7E7B59"/>
    <w:rsid w:val="5C85C781"/>
    <w:rsid w:val="5C88C820"/>
    <w:rsid w:val="5C9983DD"/>
    <w:rsid w:val="5CCC4589"/>
    <w:rsid w:val="5CEC8D01"/>
    <w:rsid w:val="5D0F763A"/>
    <w:rsid w:val="5D20CD99"/>
    <w:rsid w:val="5D2F1B5F"/>
    <w:rsid w:val="5D3EE1BC"/>
    <w:rsid w:val="5D3FC194"/>
    <w:rsid w:val="5D84028A"/>
    <w:rsid w:val="5D96C8CF"/>
    <w:rsid w:val="5DCED1B2"/>
    <w:rsid w:val="5DE04FF4"/>
    <w:rsid w:val="5E3C7DEF"/>
    <w:rsid w:val="5E6C7E10"/>
    <w:rsid w:val="5E8E5A2B"/>
    <w:rsid w:val="5EA896EE"/>
    <w:rsid w:val="5EB8978A"/>
    <w:rsid w:val="5EE66A87"/>
    <w:rsid w:val="5EED5404"/>
    <w:rsid w:val="5F4E699D"/>
    <w:rsid w:val="5F6F7CF4"/>
    <w:rsid w:val="5F8FC05F"/>
    <w:rsid w:val="5FB038B2"/>
    <w:rsid w:val="5FBB2648"/>
    <w:rsid w:val="5FD1249F"/>
    <w:rsid w:val="5FF46309"/>
    <w:rsid w:val="603C5037"/>
    <w:rsid w:val="605D4DDD"/>
    <w:rsid w:val="60807793"/>
    <w:rsid w:val="60818DFD"/>
    <w:rsid w:val="608721A3"/>
    <w:rsid w:val="60A66916"/>
    <w:rsid w:val="60AF1698"/>
    <w:rsid w:val="60BA4148"/>
    <w:rsid w:val="60C08050"/>
    <w:rsid w:val="60CA42F3"/>
    <w:rsid w:val="60E9297E"/>
    <w:rsid w:val="610E7E9D"/>
    <w:rsid w:val="6118A83C"/>
    <w:rsid w:val="616B8A84"/>
    <w:rsid w:val="6170A016"/>
    <w:rsid w:val="61713B7B"/>
    <w:rsid w:val="619E9EE1"/>
    <w:rsid w:val="61EB2DF7"/>
    <w:rsid w:val="61F96319"/>
    <w:rsid w:val="621D5E5E"/>
    <w:rsid w:val="62557DDE"/>
    <w:rsid w:val="626B5AE0"/>
    <w:rsid w:val="62A1A004"/>
    <w:rsid w:val="62ABC234"/>
    <w:rsid w:val="62EF1B25"/>
    <w:rsid w:val="6368394E"/>
    <w:rsid w:val="6390A934"/>
    <w:rsid w:val="63B92EBF"/>
    <w:rsid w:val="63EE766F"/>
    <w:rsid w:val="640A2FCB"/>
    <w:rsid w:val="64779A1D"/>
    <w:rsid w:val="649D4AF8"/>
    <w:rsid w:val="64A32B46"/>
    <w:rsid w:val="64A495C2"/>
    <w:rsid w:val="64C53435"/>
    <w:rsid w:val="650E6AD4"/>
    <w:rsid w:val="652A8B80"/>
    <w:rsid w:val="65867B4C"/>
    <w:rsid w:val="659ADB64"/>
    <w:rsid w:val="65B5CDBD"/>
    <w:rsid w:val="65D8F0CB"/>
    <w:rsid w:val="65EAB4C5"/>
    <w:rsid w:val="65EB61D9"/>
    <w:rsid w:val="65F082B9"/>
    <w:rsid w:val="660F3A8F"/>
    <w:rsid w:val="66156152"/>
    <w:rsid w:val="663EFBA7"/>
    <w:rsid w:val="666EE6E7"/>
    <w:rsid w:val="6683B76D"/>
    <w:rsid w:val="668A390E"/>
    <w:rsid w:val="669FDA10"/>
    <w:rsid w:val="66CE0F12"/>
    <w:rsid w:val="66D2869D"/>
    <w:rsid w:val="6748CA61"/>
    <w:rsid w:val="67DACC08"/>
    <w:rsid w:val="67FD33CD"/>
    <w:rsid w:val="6815D6F8"/>
    <w:rsid w:val="681B6DD4"/>
    <w:rsid w:val="683B5BF7"/>
    <w:rsid w:val="684E0057"/>
    <w:rsid w:val="685E444C"/>
    <w:rsid w:val="687CF537"/>
    <w:rsid w:val="688C3178"/>
    <w:rsid w:val="68C4BF62"/>
    <w:rsid w:val="68ECC67B"/>
    <w:rsid w:val="692C5167"/>
    <w:rsid w:val="693AB89D"/>
    <w:rsid w:val="696264CC"/>
    <w:rsid w:val="69760D48"/>
    <w:rsid w:val="698F5CB5"/>
    <w:rsid w:val="6A0876D1"/>
    <w:rsid w:val="6A0E07C1"/>
    <w:rsid w:val="6A3D136E"/>
    <w:rsid w:val="6A70C62F"/>
    <w:rsid w:val="6A8A74BB"/>
    <w:rsid w:val="6AA0E893"/>
    <w:rsid w:val="6AC75A4F"/>
    <w:rsid w:val="6AD6C754"/>
    <w:rsid w:val="6B0C0251"/>
    <w:rsid w:val="6B2C2218"/>
    <w:rsid w:val="6B5D4FAE"/>
    <w:rsid w:val="6B6C0EBA"/>
    <w:rsid w:val="6B706200"/>
    <w:rsid w:val="6B75C3B6"/>
    <w:rsid w:val="6B975895"/>
    <w:rsid w:val="6BAC1D59"/>
    <w:rsid w:val="6BD5D83C"/>
    <w:rsid w:val="6BFC87F3"/>
    <w:rsid w:val="6C09FB16"/>
    <w:rsid w:val="6C1149B3"/>
    <w:rsid w:val="6C1B8CD3"/>
    <w:rsid w:val="6C1F91CD"/>
    <w:rsid w:val="6C377C2D"/>
    <w:rsid w:val="6C5AFD53"/>
    <w:rsid w:val="6C72595F"/>
    <w:rsid w:val="6CE32F7A"/>
    <w:rsid w:val="6D07DF1B"/>
    <w:rsid w:val="6D0C3261"/>
    <w:rsid w:val="6D307BE7"/>
    <w:rsid w:val="6D7959BE"/>
    <w:rsid w:val="6DA5CB77"/>
    <w:rsid w:val="6E144DDB"/>
    <w:rsid w:val="6E1A667A"/>
    <w:rsid w:val="6E25A81F"/>
    <w:rsid w:val="6E5850BD"/>
    <w:rsid w:val="6E7EFFDB"/>
    <w:rsid w:val="6E80D36F"/>
    <w:rsid w:val="6ECBEEE8"/>
    <w:rsid w:val="6ECEF957"/>
    <w:rsid w:val="6EE6A90E"/>
    <w:rsid w:val="6F0780C6"/>
    <w:rsid w:val="6F342D49"/>
    <w:rsid w:val="6F63AAD2"/>
    <w:rsid w:val="6F6C7AED"/>
    <w:rsid w:val="6F984F4A"/>
    <w:rsid w:val="6FA65A0B"/>
    <w:rsid w:val="6FB475D0"/>
    <w:rsid w:val="6FC86ED1"/>
    <w:rsid w:val="6FC874EF"/>
    <w:rsid w:val="6FD74797"/>
    <w:rsid w:val="700E7768"/>
    <w:rsid w:val="704AA7C8"/>
    <w:rsid w:val="706AC9B8"/>
    <w:rsid w:val="707F24EA"/>
    <w:rsid w:val="70866108"/>
    <w:rsid w:val="70897174"/>
    <w:rsid w:val="70ACB61F"/>
    <w:rsid w:val="70DE91A0"/>
    <w:rsid w:val="70E2CF1C"/>
    <w:rsid w:val="70F32C3F"/>
    <w:rsid w:val="718AEDB6"/>
    <w:rsid w:val="71D85D86"/>
    <w:rsid w:val="71D9419A"/>
    <w:rsid w:val="71DB503E"/>
    <w:rsid w:val="71E9D0B4"/>
    <w:rsid w:val="71F420BB"/>
    <w:rsid w:val="7229D1E7"/>
    <w:rsid w:val="7263C322"/>
    <w:rsid w:val="726E5B3E"/>
    <w:rsid w:val="72D3A5BD"/>
    <w:rsid w:val="72F3BCA9"/>
    <w:rsid w:val="73025001"/>
    <w:rsid w:val="73123648"/>
    <w:rsid w:val="733ED929"/>
    <w:rsid w:val="734CB2D3"/>
    <w:rsid w:val="735735D7"/>
    <w:rsid w:val="739B28C2"/>
    <w:rsid w:val="743259B4"/>
    <w:rsid w:val="74373E47"/>
    <w:rsid w:val="746F761E"/>
    <w:rsid w:val="74C1BD18"/>
    <w:rsid w:val="74C3E3AF"/>
    <w:rsid w:val="7502E1D6"/>
    <w:rsid w:val="750C59A8"/>
    <w:rsid w:val="755082B0"/>
    <w:rsid w:val="75712E37"/>
    <w:rsid w:val="758BB1C9"/>
    <w:rsid w:val="758FF1C7"/>
    <w:rsid w:val="75CB4B6B"/>
    <w:rsid w:val="75CD3F55"/>
    <w:rsid w:val="75F348BA"/>
    <w:rsid w:val="7640E7D4"/>
    <w:rsid w:val="764A86F5"/>
    <w:rsid w:val="7652538D"/>
    <w:rsid w:val="766B2B38"/>
    <w:rsid w:val="76757E5E"/>
    <w:rsid w:val="76E89543"/>
    <w:rsid w:val="76F71094"/>
    <w:rsid w:val="77207869"/>
    <w:rsid w:val="772DD7F4"/>
    <w:rsid w:val="774CD071"/>
    <w:rsid w:val="775479FE"/>
    <w:rsid w:val="775EEE2B"/>
    <w:rsid w:val="7771C362"/>
    <w:rsid w:val="777409A5"/>
    <w:rsid w:val="77875C36"/>
    <w:rsid w:val="778EA9B0"/>
    <w:rsid w:val="77AB0CA4"/>
    <w:rsid w:val="77C72DCC"/>
    <w:rsid w:val="77E18DE1"/>
    <w:rsid w:val="77EA9FA6"/>
    <w:rsid w:val="77EB15C6"/>
    <w:rsid w:val="77F15281"/>
    <w:rsid w:val="78052D05"/>
    <w:rsid w:val="78208034"/>
    <w:rsid w:val="783EF3EA"/>
    <w:rsid w:val="7841CFC9"/>
    <w:rsid w:val="78462764"/>
    <w:rsid w:val="784FAB85"/>
    <w:rsid w:val="7856D28E"/>
    <w:rsid w:val="7856DC5F"/>
    <w:rsid w:val="78AA0A48"/>
    <w:rsid w:val="78C98441"/>
    <w:rsid w:val="78E3EB92"/>
    <w:rsid w:val="78F96DFA"/>
    <w:rsid w:val="78FA34D6"/>
    <w:rsid w:val="794B7422"/>
    <w:rsid w:val="794F02AC"/>
    <w:rsid w:val="79782B59"/>
    <w:rsid w:val="7998036C"/>
    <w:rsid w:val="79B6D09F"/>
    <w:rsid w:val="79C1B282"/>
    <w:rsid w:val="79F2A2EF"/>
    <w:rsid w:val="7A049FC2"/>
    <w:rsid w:val="7A13C0FB"/>
    <w:rsid w:val="7A1950A1"/>
    <w:rsid w:val="7A1A7C08"/>
    <w:rsid w:val="7A7BF409"/>
    <w:rsid w:val="7A7C1099"/>
    <w:rsid w:val="7A7EA113"/>
    <w:rsid w:val="7A9B4290"/>
    <w:rsid w:val="7AB89015"/>
    <w:rsid w:val="7ACAC339"/>
    <w:rsid w:val="7ACE80BA"/>
    <w:rsid w:val="7B182563"/>
    <w:rsid w:val="7B2F7FBE"/>
    <w:rsid w:val="7B31D78F"/>
    <w:rsid w:val="7B3477CF"/>
    <w:rsid w:val="7B37195E"/>
    <w:rsid w:val="7B6B97BF"/>
    <w:rsid w:val="7B712983"/>
    <w:rsid w:val="7B85873B"/>
    <w:rsid w:val="7B9ACE01"/>
    <w:rsid w:val="7BB4B23C"/>
    <w:rsid w:val="7BB901DF"/>
    <w:rsid w:val="7BE8F32C"/>
    <w:rsid w:val="7BEE93FF"/>
    <w:rsid w:val="7C06BB24"/>
    <w:rsid w:val="7C1A7174"/>
    <w:rsid w:val="7C2378E9"/>
    <w:rsid w:val="7C405A1C"/>
    <w:rsid w:val="7C43ED6E"/>
    <w:rsid w:val="7C48FFCA"/>
    <w:rsid w:val="7C5DD9E4"/>
    <w:rsid w:val="7C99C3B0"/>
    <w:rsid w:val="7CD2B113"/>
    <w:rsid w:val="7D2A43B1"/>
    <w:rsid w:val="7D3270E8"/>
    <w:rsid w:val="7D50829D"/>
    <w:rsid w:val="7D6BC11A"/>
    <w:rsid w:val="7D7F9F22"/>
    <w:rsid w:val="7D873EA5"/>
    <w:rsid w:val="7D89FAA0"/>
    <w:rsid w:val="7DAC4338"/>
    <w:rsid w:val="7DE93B9E"/>
    <w:rsid w:val="7DF196A7"/>
    <w:rsid w:val="7E350D8F"/>
    <w:rsid w:val="7E47D66C"/>
    <w:rsid w:val="7E64BC14"/>
    <w:rsid w:val="7EA58A4E"/>
    <w:rsid w:val="7EA6DAD0"/>
    <w:rsid w:val="7EC61412"/>
    <w:rsid w:val="7ED51B1F"/>
    <w:rsid w:val="7ED79F6C"/>
    <w:rsid w:val="7F0854EF"/>
    <w:rsid w:val="7F4DA5ED"/>
    <w:rsid w:val="7F8A0889"/>
    <w:rsid w:val="7F946DDC"/>
    <w:rsid w:val="7FB5DDBE"/>
    <w:rsid w:val="7FC80B71"/>
    <w:rsid w:val="7FD377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AF86F"/>
  <w15:docId w15:val="{83A24CC2-653B-4175-9824-12CF429C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3B"/>
    <w:pPr>
      <w:spacing w:before="120" w:after="120"/>
    </w:pPr>
    <w:rPr>
      <w:rFonts w:ascii="Arial" w:hAnsi="Arial"/>
      <w:sz w:val="22"/>
      <w:szCs w:val="24"/>
      <w:lang w:eastAsia="en-US"/>
    </w:rPr>
  </w:style>
  <w:style w:type="paragraph" w:styleId="Heading1">
    <w:name w:val="heading 1"/>
    <w:basedOn w:val="Heading2"/>
    <w:next w:val="Normal"/>
    <w:link w:val="Heading1Char"/>
    <w:qFormat/>
    <w:rsid w:val="00E871CC"/>
    <w:pPr>
      <w:numPr>
        <w:ilvl w:val="0"/>
      </w:numPr>
      <w:spacing w:before="120" w:after="360"/>
      <w:outlineLvl w:val="0"/>
    </w:pPr>
    <w:rPr>
      <w:b/>
      <w:sz w:val="32"/>
    </w:rPr>
  </w:style>
  <w:style w:type="paragraph" w:styleId="Heading2">
    <w:name w:val="heading 2"/>
    <w:basedOn w:val="Normal"/>
    <w:next w:val="Normal"/>
    <w:link w:val="Heading2Char"/>
    <w:qFormat/>
    <w:rsid w:val="00700281"/>
    <w:pPr>
      <w:keepNext/>
      <w:numPr>
        <w:ilvl w:val="1"/>
        <w:numId w:val="3"/>
      </w:numPr>
      <w:spacing w:before="0" w:after="240"/>
      <w:outlineLvl w:val="1"/>
    </w:pPr>
    <w:rPr>
      <w:rFonts w:cs="Arial"/>
      <w:bCs/>
      <w:iCs/>
      <w:color w:val="000000" w:themeColor="text1"/>
      <w:szCs w:val="28"/>
    </w:rPr>
  </w:style>
  <w:style w:type="paragraph" w:styleId="Heading3">
    <w:name w:val="heading 3"/>
    <w:basedOn w:val="Heading2"/>
    <w:next w:val="Normal"/>
    <w:link w:val="Heading3Char"/>
    <w:qFormat/>
    <w:rsid w:val="0048151B"/>
    <w:pPr>
      <w:numPr>
        <w:ilvl w:val="2"/>
      </w:numPr>
      <w:outlineLvl w:val="2"/>
    </w:pPr>
  </w:style>
  <w:style w:type="paragraph" w:styleId="Heading4">
    <w:name w:val="heading 4"/>
    <w:basedOn w:val="Heading2"/>
    <w:next w:val="Normal"/>
    <w:qFormat/>
    <w:rsid w:val="009C7E6D"/>
    <w:pPr>
      <w:numPr>
        <w:ilvl w:val="3"/>
      </w:numPr>
      <w:spacing w:after="120"/>
      <w:outlineLvl w:val="3"/>
    </w:pPr>
    <w:rPr>
      <w:color w:val="000000"/>
    </w:rPr>
  </w:style>
  <w:style w:type="paragraph" w:styleId="Heading5">
    <w:name w:val="heading 5"/>
    <w:basedOn w:val="Normal"/>
    <w:next w:val="Normal"/>
    <w:link w:val="Heading5Char"/>
    <w:qFormat/>
    <w:rsid w:val="00165A73"/>
    <w:pPr>
      <w:numPr>
        <w:ilvl w:val="4"/>
        <w:numId w:val="3"/>
      </w:numPr>
      <w:jc w:val="right"/>
      <w:outlineLvl w:val="4"/>
    </w:pPr>
    <w:rPr>
      <w:b/>
      <w:bCs/>
      <w:iCs/>
      <w:sz w:val="24"/>
      <w:szCs w:val="26"/>
    </w:rPr>
  </w:style>
  <w:style w:type="paragraph" w:styleId="Heading6">
    <w:name w:val="heading 6"/>
    <w:basedOn w:val="Normal"/>
    <w:next w:val="Normal"/>
    <w:link w:val="Heading6Char"/>
    <w:semiHidden/>
    <w:unhideWhenUsed/>
    <w:qFormat/>
    <w:rsid w:val="00612649"/>
    <w:pPr>
      <w:keepNext/>
      <w:keepLines/>
      <w:numPr>
        <w:ilvl w:val="5"/>
        <w:numId w:val="3"/>
      </w:numPr>
      <w:spacing w:before="40"/>
      <w:ind w:left="4320" w:hanging="18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612649"/>
    <w:pPr>
      <w:keepNext/>
      <w:keepLines/>
      <w:numPr>
        <w:ilvl w:val="6"/>
        <w:numId w:val="3"/>
      </w:numPr>
      <w:spacing w:before="40"/>
      <w:ind w:left="5040" w:hanging="36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612649"/>
    <w:pPr>
      <w:keepNext/>
      <w:keepLines/>
      <w:numPr>
        <w:ilvl w:val="7"/>
        <w:numId w:val="3"/>
      </w:numPr>
      <w:spacing w:before="4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12649"/>
    <w:pPr>
      <w:keepNext/>
      <w:keepLines/>
      <w:numPr>
        <w:ilvl w:val="8"/>
        <w:numId w:val="3"/>
      </w:numPr>
      <w:spacing w:before="4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BB6896"/>
    <w:pPr>
      <w:spacing w:line="280" w:lineRule="atLeast"/>
      <w:jc w:val="center"/>
    </w:pPr>
    <w:rPr>
      <w:b/>
      <w:bCs/>
      <w:color w:val="FFFFFF" w:themeColor="background1"/>
      <w:sz w:val="56"/>
      <w:szCs w:val="20"/>
    </w:rPr>
  </w:style>
  <w:style w:type="paragraph" w:styleId="Footer">
    <w:name w:val="footer"/>
    <w:basedOn w:val="Normal"/>
    <w:link w:val="FooterChar"/>
    <w:uiPriority w:val="99"/>
    <w:rsid w:val="00EA10CD"/>
    <w:pPr>
      <w:tabs>
        <w:tab w:val="left" w:pos="0"/>
        <w:tab w:val="center" w:pos="4153"/>
        <w:tab w:val="right" w:pos="8306"/>
      </w:tabs>
    </w:pPr>
    <w:rPr>
      <w:sz w:val="16"/>
    </w:rPr>
  </w:style>
  <w:style w:type="table" w:styleId="TableGrid">
    <w:name w:val="Table Grid"/>
    <w:basedOn w:val="TableNormal"/>
    <w:rsid w:val="009137E6"/>
    <w:rPr>
      <w:rFonts w:ascii="Arial" w:hAnsi="Arial"/>
      <w:sz w:val="22"/>
    </w:rPr>
    <w:tblPr>
      <w:tblCellMar>
        <w:left w:w="115" w:type="dxa"/>
        <w:right w:w="115" w:type="dxa"/>
      </w:tblCellMar>
    </w:tblPr>
  </w:style>
  <w:style w:type="character" w:styleId="PageNumber">
    <w:name w:val="page number"/>
    <w:basedOn w:val="DefaultParagraphFont"/>
    <w:rsid w:val="000C28CC"/>
  </w:style>
  <w:style w:type="paragraph" w:customStyle="1" w:styleId="Action">
    <w:name w:val="Action"/>
    <w:basedOn w:val="Normal"/>
    <w:rsid w:val="006B6B00"/>
    <w:rPr>
      <w:b/>
    </w:rPr>
  </w:style>
  <w:style w:type="paragraph" w:customStyle="1" w:styleId="PROTECTIVEMARKING">
    <w:name w:val="PROTECTIVE MARKING"/>
    <w:basedOn w:val="Normal"/>
    <w:rsid w:val="00CC20FF"/>
    <w:pPr>
      <w:tabs>
        <w:tab w:val="center" w:pos="4153"/>
        <w:tab w:val="right" w:pos="8306"/>
      </w:tabs>
      <w:jc w:val="center"/>
    </w:pPr>
    <w:rPr>
      <w:b/>
      <w:caps/>
      <w:sz w:val="16"/>
    </w:rPr>
  </w:style>
  <w:style w:type="table" w:styleId="GridTable4-Accent3">
    <w:name w:val="Grid Table 4 Accent 3"/>
    <w:basedOn w:val="TableNormal"/>
    <w:uiPriority w:val="49"/>
    <w:rsid w:val="00367E00"/>
    <w:tblPr>
      <w:tblStyleRowBandSize w:val="1"/>
      <w:tblStyleColBandSize w:val="1"/>
      <w:tblBorders>
        <w:top w:val="single" w:sz="4" w:space="0" w:color="99CCCC"/>
        <w:left w:val="single" w:sz="4" w:space="0" w:color="99CCCC"/>
        <w:bottom w:val="single" w:sz="4" w:space="0" w:color="99CCCC"/>
        <w:right w:val="single" w:sz="4" w:space="0" w:color="99CCCC"/>
        <w:insideH w:val="single" w:sz="4" w:space="0" w:color="99CCCC"/>
        <w:insideV w:val="single" w:sz="4" w:space="0" w:color="99CCCC"/>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NWSTABLE">
    <w:name w:val="NWS TABLE"/>
    <w:basedOn w:val="TableNormal"/>
    <w:uiPriority w:val="99"/>
    <w:rsid w:val="005F3399"/>
    <w:tblPr/>
  </w:style>
  <w:style w:type="table" w:styleId="MediumGrid1-Accent4">
    <w:name w:val="Medium Grid 1 Accent 4"/>
    <w:basedOn w:val="TableNormal"/>
    <w:uiPriority w:val="67"/>
    <w:rsid w:val="007E6A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Shading-Accent5">
    <w:name w:val="Light Shading Accent 5"/>
    <w:basedOn w:val="TableNormal"/>
    <w:uiPriority w:val="60"/>
    <w:rsid w:val="00B47A6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B47A6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aliases w:val="Numbered List 1,Numbered Para 1,Dot pt,No Spacing1,List Paragraph Char Char Char,Indicator Text,List Paragraph1,Bullet 1,Bullet Points,MAIN CONTENT,List Paragraph12,F5 List Paragraph,Colorful List - Accent 11,Normal numbered,OBC Bullet,L"/>
    <w:basedOn w:val="Normal"/>
    <w:link w:val="ListParagraphChar"/>
    <w:uiPriority w:val="34"/>
    <w:qFormat/>
    <w:rsid w:val="00B47A66"/>
    <w:pPr>
      <w:ind w:left="720"/>
      <w:contextualSpacing/>
    </w:pPr>
  </w:style>
  <w:style w:type="character" w:styleId="IntenseEmphasis">
    <w:name w:val="Intense Emphasis"/>
    <w:basedOn w:val="DefaultParagraphFont"/>
    <w:uiPriority w:val="21"/>
    <w:qFormat/>
    <w:rsid w:val="006A343B"/>
    <w:rPr>
      <w:b/>
      <w:bCs/>
      <w:i/>
      <w:iCs/>
      <w:color w:val="4F81BD" w:themeColor="accent1"/>
    </w:rPr>
  </w:style>
  <w:style w:type="table" w:styleId="MediumShading1-Accent4">
    <w:name w:val="Medium Shading 1 Accent 4"/>
    <w:basedOn w:val="TableNormal"/>
    <w:uiPriority w:val="63"/>
    <w:rsid w:val="00AF580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3">
    <w:name w:val="Colorful List Accent 3"/>
    <w:basedOn w:val="TableNormal"/>
    <w:uiPriority w:val="72"/>
    <w:rsid w:val="00AA13B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Grid3-Accent4">
    <w:name w:val="Medium Grid 3 Accent 4"/>
    <w:basedOn w:val="TableNormal"/>
    <w:uiPriority w:val="69"/>
    <w:rsid w:val="00AA13B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SubtleEmphasis">
    <w:name w:val="Subtle Emphasis"/>
    <w:basedOn w:val="DefaultParagraphFont"/>
    <w:uiPriority w:val="19"/>
    <w:qFormat/>
    <w:rsid w:val="00AA13BD"/>
    <w:rPr>
      <w:i/>
      <w:iCs/>
      <w:color w:val="808080" w:themeColor="text1" w:themeTint="7F"/>
    </w:rPr>
  </w:style>
  <w:style w:type="character" w:styleId="Hyperlink">
    <w:name w:val="Hyperlink"/>
    <w:basedOn w:val="DefaultParagraphFont"/>
    <w:uiPriority w:val="99"/>
    <w:rsid w:val="00BA46CE"/>
    <w:rPr>
      <w:color w:val="0000FF" w:themeColor="hyperlink"/>
      <w:u w:val="single"/>
    </w:rPr>
  </w:style>
  <w:style w:type="table" w:styleId="ListTable1Light">
    <w:name w:val="List Table 1 Light"/>
    <w:basedOn w:val="TableNormal"/>
    <w:uiPriority w:val="46"/>
    <w:rsid w:val="00D277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ediumGrid1">
    <w:name w:val="Medium Grid 1"/>
    <w:basedOn w:val="TableNormal"/>
    <w:uiPriority w:val="67"/>
    <w:rsid w:val="0054106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Default">
    <w:name w:val="Default"/>
    <w:rsid w:val="0054106B"/>
    <w:pPr>
      <w:autoSpaceDE w:val="0"/>
      <w:autoSpaceDN w:val="0"/>
      <w:adjustRightInd w:val="0"/>
    </w:pPr>
    <w:rPr>
      <w:rFonts w:ascii="HelveticaNeueLT Pro 45 Lt" w:hAnsi="HelveticaNeueLT Pro 45 Lt" w:cs="HelveticaNeueLT Pro 45 Lt"/>
      <w:color w:val="000000"/>
      <w:sz w:val="24"/>
      <w:szCs w:val="24"/>
    </w:rPr>
  </w:style>
  <w:style w:type="character" w:customStyle="1" w:styleId="A5">
    <w:name w:val="A5"/>
    <w:uiPriority w:val="99"/>
    <w:rsid w:val="0054106B"/>
    <w:rPr>
      <w:rFonts w:cs="HelveticaNeueLT Pro 45 Lt"/>
      <w:color w:val="565555"/>
      <w:sz w:val="20"/>
      <w:szCs w:val="20"/>
    </w:rPr>
  </w:style>
  <w:style w:type="table" w:styleId="TableList6">
    <w:name w:val="Table List 6"/>
    <w:basedOn w:val="TableNormal"/>
    <w:rsid w:val="0054106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2">
    <w:name w:val="Grid Table 2"/>
    <w:basedOn w:val="TableNormal"/>
    <w:uiPriority w:val="47"/>
    <w:rsid w:val="00B24CC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B24CC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59"/>
    <w:rsid w:val="00832D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21F93"/>
    <w:pPr>
      <w:spacing w:before="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21F93"/>
    <w:rPr>
      <w:rFonts w:asciiTheme="minorHAnsi" w:eastAsiaTheme="minorHAnsi" w:hAnsiTheme="minorHAnsi" w:cstheme="minorBidi"/>
      <w:lang w:eastAsia="en-US"/>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FR"/>
    <w:basedOn w:val="DefaultParagraphFont"/>
    <w:uiPriority w:val="99"/>
    <w:unhideWhenUsed/>
    <w:rsid w:val="00621F93"/>
    <w:rPr>
      <w:vertAlign w:val="superscript"/>
    </w:rPr>
  </w:style>
  <w:style w:type="character" w:customStyle="1" w:styleId="Heading3Char">
    <w:name w:val="Heading 3 Char"/>
    <w:basedOn w:val="DefaultParagraphFont"/>
    <w:link w:val="Heading3"/>
    <w:rsid w:val="00621F93"/>
    <w:rPr>
      <w:rFonts w:ascii="Arial" w:hAnsi="Arial" w:cs="Arial"/>
      <w:bCs/>
      <w:iCs/>
      <w:color w:val="000000" w:themeColor="text1"/>
      <w:sz w:val="22"/>
      <w:szCs w:val="28"/>
      <w:lang w:eastAsia="en-US"/>
    </w:rPr>
  </w:style>
  <w:style w:type="character" w:customStyle="1" w:styleId="ListParagraphChar">
    <w:name w:val="List Paragraph Char"/>
    <w:aliases w:val="Numbered List 1 Char,Numbered Para 1 Char,Dot pt Char,No Spacing1 Char,List Paragraph Char Char Char Char,Indicator Text Char,List Paragraph1 Char,Bullet 1 Char,Bullet Points Char,MAIN CONTENT Char,List Paragraph12 Char,L Char"/>
    <w:link w:val="ListParagraph"/>
    <w:uiPriority w:val="34"/>
    <w:qFormat/>
    <w:locked/>
    <w:rsid w:val="00621F93"/>
    <w:rPr>
      <w:rFonts w:ascii="Arial" w:hAnsi="Arial"/>
      <w:sz w:val="22"/>
      <w:szCs w:val="24"/>
      <w:lang w:val="en-US" w:eastAsia="en-US"/>
    </w:rPr>
  </w:style>
  <w:style w:type="paragraph" w:styleId="Caption">
    <w:name w:val="caption"/>
    <w:basedOn w:val="Normal"/>
    <w:next w:val="Normal"/>
    <w:unhideWhenUsed/>
    <w:qFormat/>
    <w:rsid w:val="00621F93"/>
    <w:pPr>
      <w:spacing w:before="0" w:after="200"/>
    </w:pPr>
    <w:rPr>
      <w:b/>
      <w:bCs/>
      <w:szCs w:val="22"/>
      <w:lang w:eastAsia="en-GB"/>
    </w:rPr>
  </w:style>
  <w:style w:type="character" w:styleId="CommentReference">
    <w:name w:val="annotation reference"/>
    <w:basedOn w:val="DefaultParagraphFont"/>
    <w:semiHidden/>
    <w:unhideWhenUsed/>
    <w:rsid w:val="00621F93"/>
    <w:rPr>
      <w:sz w:val="16"/>
      <w:szCs w:val="16"/>
    </w:rPr>
  </w:style>
  <w:style w:type="table" w:customStyle="1" w:styleId="Style3">
    <w:name w:val="Style3"/>
    <w:basedOn w:val="NWSTABLE"/>
    <w:uiPriority w:val="99"/>
    <w:rsid w:val="00775C79"/>
    <w:rPr>
      <w:rFonts w:ascii="Arial" w:hAnsi="Arial"/>
    </w:rPr>
    <w:tblPr/>
  </w:style>
  <w:style w:type="paragraph" w:customStyle="1" w:styleId="LetteredList1">
    <w:name w:val="Lettered List 1"/>
    <w:basedOn w:val="ListParagraph"/>
    <w:qFormat/>
    <w:rsid w:val="00906BC0"/>
    <w:pPr>
      <w:numPr>
        <w:numId w:val="5"/>
      </w:numPr>
      <w:contextualSpacing w:val="0"/>
    </w:pPr>
  </w:style>
  <w:style w:type="character" w:styleId="FollowedHyperlink">
    <w:name w:val="FollowedHyperlink"/>
    <w:basedOn w:val="DefaultParagraphFont"/>
    <w:semiHidden/>
    <w:unhideWhenUsed/>
    <w:rsid w:val="00621F93"/>
    <w:rPr>
      <w:color w:val="800080" w:themeColor="followedHyperlink"/>
      <w:u w:val="single"/>
    </w:rPr>
  </w:style>
  <w:style w:type="table" w:styleId="GridTable2-Accent3">
    <w:name w:val="Grid Table 2 Accent 3"/>
    <w:basedOn w:val="TableNormal"/>
    <w:uiPriority w:val="47"/>
    <w:rsid w:val="00EC53A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MediumGrid3-Accent1">
    <w:name w:val="Medium Grid 3 Accent 1"/>
    <w:basedOn w:val="TableNormal"/>
    <w:uiPriority w:val="69"/>
    <w:rsid w:val="0096306E"/>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ommentSubject">
    <w:name w:val="annotation subject"/>
    <w:basedOn w:val="Normal"/>
    <w:next w:val="Normal"/>
    <w:link w:val="CommentSubjectChar"/>
    <w:semiHidden/>
    <w:unhideWhenUsed/>
    <w:rsid w:val="00CC20FF"/>
    <w:pPr>
      <w:spacing w:after="0"/>
    </w:pPr>
    <w:rPr>
      <w:b/>
      <w:bCs/>
      <w:sz w:val="20"/>
      <w:szCs w:val="20"/>
    </w:rPr>
  </w:style>
  <w:style w:type="character" w:customStyle="1" w:styleId="CommentSubjectChar">
    <w:name w:val="Comment Subject Char"/>
    <w:basedOn w:val="DefaultParagraphFont"/>
    <w:link w:val="CommentSubject"/>
    <w:semiHidden/>
    <w:rsid w:val="00CC20FF"/>
    <w:rPr>
      <w:rFonts w:ascii="Arial" w:eastAsiaTheme="minorHAnsi" w:hAnsi="Arial" w:cstheme="minorBidi"/>
      <w:b/>
      <w:bCs/>
      <w:lang w:eastAsia="en-US"/>
    </w:rPr>
  </w:style>
  <w:style w:type="table" w:styleId="ListTable2-Accent3">
    <w:name w:val="List Table 2 Accent 3"/>
    <w:basedOn w:val="TableNormal"/>
    <w:uiPriority w:val="47"/>
    <w:rsid w:val="00187A5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ghtGrid-Accent1">
    <w:name w:val="Light Grid Accent 1"/>
    <w:basedOn w:val="TableNormal"/>
    <w:uiPriority w:val="62"/>
    <w:rsid w:val="00E00F26"/>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2">
    <w:name w:val="Table Grid2"/>
    <w:basedOn w:val="TableNormal"/>
    <w:next w:val="TableGrid"/>
    <w:uiPriority w:val="39"/>
    <w:rsid w:val="007923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C22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5C22DA"/>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E848D2"/>
    <w:pPr>
      <w:spacing w:before="100" w:beforeAutospacing="1" w:after="100" w:afterAutospacing="1"/>
    </w:pPr>
    <w:rPr>
      <w:rFonts w:ascii="Times New Roman" w:hAnsi="Times New Roman"/>
      <w:sz w:val="24"/>
      <w:lang w:eastAsia="en-GB"/>
    </w:rPr>
  </w:style>
  <w:style w:type="table" w:customStyle="1" w:styleId="TableGrid3">
    <w:name w:val="Table Grid3"/>
    <w:basedOn w:val="TableNormal"/>
    <w:next w:val="TableGrid"/>
    <w:uiPriority w:val="59"/>
    <w:rsid w:val="002B09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9543F"/>
    <w:rPr>
      <w:b/>
      <w:bCs/>
    </w:rPr>
  </w:style>
  <w:style w:type="character" w:styleId="Emphasis">
    <w:name w:val="Emphasis"/>
    <w:basedOn w:val="DefaultParagraphFont"/>
    <w:uiPriority w:val="20"/>
    <w:qFormat/>
    <w:rsid w:val="00A9543F"/>
    <w:rPr>
      <w:i/>
      <w:iCs/>
    </w:rPr>
  </w:style>
  <w:style w:type="table" w:customStyle="1" w:styleId="GridTable2-Accent31">
    <w:name w:val="Grid Table 2 - Accent 31"/>
    <w:basedOn w:val="TableNormal"/>
    <w:uiPriority w:val="47"/>
    <w:rsid w:val="00C327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PlainTable4">
    <w:name w:val="Plain Table 4"/>
    <w:basedOn w:val="TableNormal"/>
    <w:uiPriority w:val="44"/>
    <w:rsid w:val="00531D0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31D0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531D0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31D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rsid w:val="00700281"/>
    <w:rPr>
      <w:rFonts w:ascii="Arial" w:hAnsi="Arial" w:cs="Arial"/>
      <w:bCs/>
      <w:iCs/>
      <w:color w:val="000000" w:themeColor="text1"/>
      <w:sz w:val="22"/>
      <w:szCs w:val="28"/>
      <w:lang w:eastAsia="en-US"/>
    </w:rPr>
  </w:style>
  <w:style w:type="table" w:styleId="GridTable4-Accent1">
    <w:name w:val="Grid Table 4 Accent 1"/>
    <w:basedOn w:val="TableNormal"/>
    <w:uiPriority w:val="49"/>
    <w:rsid w:val="00E46D6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003B3A"/>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6">
    <w:name w:val="Grid Table 2 Accent 6"/>
    <w:basedOn w:val="TableNormal"/>
    <w:uiPriority w:val="47"/>
    <w:rsid w:val="00E81567"/>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5Char">
    <w:name w:val="Heading 5 Char"/>
    <w:basedOn w:val="DefaultParagraphFont"/>
    <w:link w:val="Heading5"/>
    <w:rsid w:val="008C0316"/>
    <w:rPr>
      <w:rFonts w:ascii="Arial" w:hAnsi="Arial"/>
      <w:b/>
      <w:bCs/>
      <w:iCs/>
      <w:sz w:val="24"/>
      <w:szCs w:val="26"/>
      <w:lang w:eastAsia="en-US"/>
    </w:rPr>
  </w:style>
  <w:style w:type="paragraph" w:customStyle="1" w:styleId="Guidance">
    <w:name w:val="Guidance"/>
    <w:basedOn w:val="Normal"/>
    <w:link w:val="GuidanceChar"/>
    <w:qFormat/>
    <w:rsid w:val="00DC787A"/>
    <w:pPr>
      <w:spacing w:before="0" w:line="276" w:lineRule="auto"/>
    </w:pPr>
    <w:rPr>
      <w:rFonts w:eastAsiaTheme="minorEastAsia" w:cs="Arial"/>
      <w:i/>
      <w:color w:val="1F497D" w:themeColor="text2"/>
      <w:szCs w:val="22"/>
      <w:lang w:eastAsia="en-GB"/>
    </w:rPr>
  </w:style>
  <w:style w:type="character" w:customStyle="1" w:styleId="GuidanceChar">
    <w:name w:val="Guidance Char"/>
    <w:basedOn w:val="DefaultParagraphFont"/>
    <w:link w:val="Guidance"/>
    <w:rsid w:val="00DC787A"/>
    <w:rPr>
      <w:rFonts w:ascii="Arial" w:eastAsiaTheme="minorEastAsia" w:hAnsi="Arial" w:cs="Arial"/>
      <w:i/>
      <w:color w:val="1F497D" w:themeColor="text2"/>
      <w:sz w:val="22"/>
      <w:szCs w:val="22"/>
    </w:rPr>
  </w:style>
  <w:style w:type="character" w:customStyle="1" w:styleId="Heading6Char">
    <w:name w:val="Heading 6 Char"/>
    <w:basedOn w:val="DefaultParagraphFont"/>
    <w:link w:val="Heading6"/>
    <w:semiHidden/>
    <w:rsid w:val="00612649"/>
    <w:rPr>
      <w:rFonts w:asciiTheme="majorHAnsi" w:eastAsiaTheme="majorEastAsia" w:hAnsiTheme="majorHAnsi" w:cstheme="majorBidi"/>
      <w:color w:val="243F60" w:themeColor="accent1" w:themeShade="7F"/>
      <w:sz w:val="22"/>
      <w:szCs w:val="24"/>
      <w:lang w:eastAsia="en-US"/>
    </w:rPr>
  </w:style>
  <w:style w:type="character" w:customStyle="1" w:styleId="Heading7Char">
    <w:name w:val="Heading 7 Char"/>
    <w:basedOn w:val="DefaultParagraphFont"/>
    <w:link w:val="Heading7"/>
    <w:semiHidden/>
    <w:rsid w:val="00612649"/>
    <w:rPr>
      <w:rFonts w:asciiTheme="majorHAnsi" w:eastAsiaTheme="majorEastAsia" w:hAnsiTheme="majorHAnsi" w:cstheme="majorBidi"/>
      <w:i/>
      <w:iCs/>
      <w:color w:val="243F60" w:themeColor="accent1" w:themeShade="7F"/>
      <w:sz w:val="22"/>
      <w:szCs w:val="24"/>
      <w:lang w:eastAsia="en-US"/>
    </w:rPr>
  </w:style>
  <w:style w:type="character" w:customStyle="1" w:styleId="Heading8Char">
    <w:name w:val="Heading 8 Char"/>
    <w:basedOn w:val="DefaultParagraphFont"/>
    <w:link w:val="Heading8"/>
    <w:semiHidden/>
    <w:rsid w:val="006126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612649"/>
    <w:rPr>
      <w:rFonts w:asciiTheme="majorHAnsi" w:eastAsiaTheme="majorEastAsia" w:hAnsiTheme="majorHAnsi" w:cstheme="majorBidi"/>
      <w:i/>
      <w:iCs/>
      <w:color w:val="272727" w:themeColor="text1" w:themeTint="D8"/>
      <w:sz w:val="21"/>
      <w:szCs w:val="21"/>
      <w:lang w:eastAsia="en-US"/>
    </w:rPr>
  </w:style>
  <w:style w:type="table" w:customStyle="1" w:styleId="TableGrid4">
    <w:name w:val="Table Grid4"/>
    <w:basedOn w:val="TableNormal"/>
    <w:next w:val="TableGrid"/>
    <w:uiPriority w:val="39"/>
    <w:rsid w:val="00F015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6CF8"/>
    <w:rPr>
      <w:color w:val="605E5C"/>
      <w:shd w:val="clear" w:color="auto" w:fill="E1DFDD"/>
    </w:rPr>
  </w:style>
  <w:style w:type="paragraph" w:styleId="BodyText">
    <w:name w:val="Body Text"/>
    <w:basedOn w:val="Normal"/>
    <w:link w:val="BodyTextChar"/>
    <w:uiPriority w:val="99"/>
    <w:semiHidden/>
    <w:unhideWhenUsed/>
    <w:rsid w:val="00CB412A"/>
    <w:rPr>
      <w:rFonts w:eastAsiaTheme="minorHAnsi" w:cs="Arial"/>
      <w:szCs w:val="22"/>
    </w:rPr>
  </w:style>
  <w:style w:type="character" w:customStyle="1" w:styleId="BodyTextChar">
    <w:name w:val="Body Text Char"/>
    <w:basedOn w:val="DefaultParagraphFont"/>
    <w:link w:val="BodyText"/>
    <w:uiPriority w:val="99"/>
    <w:semiHidden/>
    <w:rsid w:val="00CB412A"/>
    <w:rPr>
      <w:rFonts w:ascii="Arial" w:eastAsiaTheme="minorHAnsi" w:hAnsi="Arial" w:cs="Arial"/>
      <w:sz w:val="22"/>
      <w:szCs w:val="22"/>
      <w:lang w:eastAsia="en-US"/>
    </w:rPr>
  </w:style>
  <w:style w:type="paragraph" w:styleId="TOCHeading">
    <w:name w:val="TOC Heading"/>
    <w:basedOn w:val="Heading1"/>
    <w:next w:val="Normal"/>
    <w:uiPriority w:val="39"/>
    <w:unhideWhenUsed/>
    <w:qFormat/>
    <w:rsid w:val="00F02DD6"/>
    <w:pPr>
      <w:keepLines/>
      <w:numPr>
        <w:numId w:val="0"/>
      </w:numPr>
      <w:spacing w:before="240" w:after="0" w:line="259" w:lineRule="auto"/>
      <w:outlineLvl w:val="9"/>
    </w:pPr>
    <w:rPr>
      <w:rFonts w:asciiTheme="majorHAnsi" w:eastAsiaTheme="majorEastAsia" w:hAnsiTheme="majorHAnsi" w:cstheme="majorBidi"/>
      <w:b w:val="0"/>
      <w:bCs w:val="0"/>
      <w:iCs w:val="0"/>
      <w:color w:val="365F91" w:themeColor="accent1" w:themeShade="BF"/>
      <w:szCs w:val="32"/>
      <w:lang w:val="en-US"/>
    </w:rPr>
  </w:style>
  <w:style w:type="paragraph" w:styleId="TOC1">
    <w:name w:val="toc 1"/>
    <w:basedOn w:val="Normal"/>
    <w:next w:val="Normal"/>
    <w:autoRedefine/>
    <w:uiPriority w:val="39"/>
    <w:unhideWhenUsed/>
    <w:rsid w:val="00F02DD6"/>
    <w:pPr>
      <w:spacing w:after="100"/>
    </w:pPr>
  </w:style>
  <w:style w:type="paragraph" w:styleId="TOC3">
    <w:name w:val="toc 3"/>
    <w:basedOn w:val="Normal"/>
    <w:next w:val="Normal"/>
    <w:autoRedefine/>
    <w:uiPriority w:val="39"/>
    <w:unhideWhenUsed/>
    <w:rsid w:val="00F02DD6"/>
    <w:pPr>
      <w:spacing w:after="100"/>
      <w:ind w:left="440"/>
    </w:pPr>
  </w:style>
  <w:style w:type="paragraph" w:styleId="TOC2">
    <w:name w:val="toc 2"/>
    <w:basedOn w:val="Normal"/>
    <w:next w:val="Normal"/>
    <w:autoRedefine/>
    <w:uiPriority w:val="39"/>
    <w:unhideWhenUsed/>
    <w:rsid w:val="00F02DD6"/>
    <w:pPr>
      <w:spacing w:after="100"/>
      <w:ind w:left="220"/>
    </w:pPr>
  </w:style>
  <w:style w:type="paragraph" w:styleId="TOC4">
    <w:name w:val="toc 4"/>
    <w:basedOn w:val="Normal"/>
    <w:next w:val="Normal"/>
    <w:autoRedefine/>
    <w:uiPriority w:val="39"/>
    <w:unhideWhenUsed/>
    <w:rsid w:val="00F02DD6"/>
    <w:pPr>
      <w:spacing w:before="0" w:after="100" w:line="259" w:lineRule="auto"/>
      <w:ind w:left="660"/>
    </w:pPr>
    <w:rPr>
      <w:rFonts w:asciiTheme="minorHAnsi" w:eastAsiaTheme="minorEastAsia" w:hAnsiTheme="minorHAnsi" w:cstheme="minorBidi"/>
      <w:kern w:val="2"/>
      <w:szCs w:val="22"/>
      <w:lang w:eastAsia="en-GB"/>
      <w14:ligatures w14:val="standardContextual"/>
    </w:rPr>
  </w:style>
  <w:style w:type="paragraph" w:styleId="TOC5">
    <w:name w:val="toc 5"/>
    <w:basedOn w:val="Normal"/>
    <w:next w:val="Normal"/>
    <w:autoRedefine/>
    <w:uiPriority w:val="39"/>
    <w:unhideWhenUsed/>
    <w:rsid w:val="00F02DD6"/>
    <w:pPr>
      <w:spacing w:before="0" w:after="100" w:line="259" w:lineRule="auto"/>
      <w:ind w:left="880"/>
    </w:pPr>
    <w:rPr>
      <w:rFonts w:asciiTheme="minorHAnsi" w:eastAsiaTheme="minorEastAsia" w:hAnsiTheme="minorHAnsi" w:cstheme="minorBidi"/>
      <w:kern w:val="2"/>
      <w:szCs w:val="22"/>
      <w:lang w:eastAsia="en-GB"/>
      <w14:ligatures w14:val="standardContextual"/>
    </w:rPr>
  </w:style>
  <w:style w:type="paragraph" w:styleId="TOC6">
    <w:name w:val="toc 6"/>
    <w:basedOn w:val="Normal"/>
    <w:next w:val="Normal"/>
    <w:autoRedefine/>
    <w:uiPriority w:val="39"/>
    <w:unhideWhenUsed/>
    <w:rsid w:val="00F02DD6"/>
    <w:pPr>
      <w:spacing w:before="0" w:after="100" w:line="259" w:lineRule="auto"/>
      <w:ind w:left="1100"/>
    </w:pPr>
    <w:rPr>
      <w:rFonts w:asciiTheme="minorHAnsi" w:eastAsiaTheme="minorEastAsia" w:hAnsiTheme="minorHAnsi" w:cstheme="minorBidi"/>
      <w:kern w:val="2"/>
      <w:szCs w:val="22"/>
      <w:lang w:eastAsia="en-GB"/>
      <w14:ligatures w14:val="standardContextual"/>
    </w:rPr>
  </w:style>
  <w:style w:type="paragraph" w:styleId="TOC7">
    <w:name w:val="toc 7"/>
    <w:basedOn w:val="Normal"/>
    <w:next w:val="Normal"/>
    <w:autoRedefine/>
    <w:uiPriority w:val="39"/>
    <w:unhideWhenUsed/>
    <w:rsid w:val="00F02DD6"/>
    <w:pPr>
      <w:spacing w:before="0" w:after="100" w:line="259" w:lineRule="auto"/>
      <w:ind w:left="1320"/>
    </w:pPr>
    <w:rPr>
      <w:rFonts w:asciiTheme="minorHAnsi" w:eastAsiaTheme="minorEastAsia" w:hAnsiTheme="minorHAnsi" w:cstheme="minorBidi"/>
      <w:kern w:val="2"/>
      <w:szCs w:val="22"/>
      <w:lang w:eastAsia="en-GB"/>
      <w14:ligatures w14:val="standardContextual"/>
    </w:rPr>
  </w:style>
  <w:style w:type="paragraph" w:styleId="TOC8">
    <w:name w:val="toc 8"/>
    <w:basedOn w:val="Normal"/>
    <w:next w:val="Normal"/>
    <w:autoRedefine/>
    <w:uiPriority w:val="39"/>
    <w:unhideWhenUsed/>
    <w:rsid w:val="00F02DD6"/>
    <w:pPr>
      <w:spacing w:before="0" w:after="100" w:line="259" w:lineRule="auto"/>
      <w:ind w:left="1540"/>
    </w:pPr>
    <w:rPr>
      <w:rFonts w:asciiTheme="minorHAnsi" w:eastAsiaTheme="minorEastAsia" w:hAnsiTheme="minorHAnsi" w:cstheme="minorBidi"/>
      <w:kern w:val="2"/>
      <w:szCs w:val="22"/>
      <w:lang w:eastAsia="en-GB"/>
      <w14:ligatures w14:val="standardContextual"/>
    </w:rPr>
  </w:style>
  <w:style w:type="paragraph" w:styleId="TOC9">
    <w:name w:val="toc 9"/>
    <w:basedOn w:val="Normal"/>
    <w:next w:val="Normal"/>
    <w:autoRedefine/>
    <w:uiPriority w:val="39"/>
    <w:unhideWhenUsed/>
    <w:rsid w:val="00F02DD6"/>
    <w:pPr>
      <w:spacing w:before="0" w:after="100" w:line="259" w:lineRule="auto"/>
      <w:ind w:left="1760"/>
    </w:pPr>
    <w:rPr>
      <w:rFonts w:asciiTheme="minorHAnsi" w:eastAsiaTheme="minorEastAsia" w:hAnsiTheme="minorHAnsi" w:cstheme="minorBidi"/>
      <w:kern w:val="2"/>
      <w:szCs w:val="22"/>
      <w:lang w:eastAsia="en-GB"/>
      <w14:ligatures w14:val="standardContextual"/>
    </w:rPr>
  </w:style>
  <w:style w:type="paragraph" w:styleId="TableofFigures">
    <w:name w:val="table of figures"/>
    <w:basedOn w:val="Normal"/>
    <w:next w:val="Normal"/>
    <w:uiPriority w:val="99"/>
    <w:unhideWhenUsed/>
    <w:rsid w:val="00836D85"/>
  </w:style>
  <w:style w:type="paragraph" w:styleId="Revision">
    <w:name w:val="Revision"/>
    <w:hidden/>
    <w:uiPriority w:val="99"/>
    <w:semiHidden/>
    <w:rsid w:val="000C09A1"/>
    <w:rPr>
      <w:rFonts w:ascii="Arial" w:hAnsi="Arial"/>
      <w:sz w:val="22"/>
      <w:szCs w:val="24"/>
      <w:lang w:eastAsia="en-US"/>
    </w:rPr>
  </w:style>
  <w:style w:type="table" w:customStyle="1" w:styleId="Style1">
    <w:name w:val="Style1"/>
    <w:basedOn w:val="TableNormal"/>
    <w:uiPriority w:val="99"/>
    <w:rsid w:val="0000064B"/>
    <w:tblPr/>
    <w:tcPr>
      <w:shd w:val="clear" w:color="auto" w:fill="auto"/>
    </w:tcPr>
  </w:style>
  <w:style w:type="paragraph" w:customStyle="1" w:styleId="Letteredlist2">
    <w:name w:val="Lettered list 2"/>
    <w:basedOn w:val="ListParagraph"/>
    <w:qFormat/>
    <w:rsid w:val="00A83FA8"/>
    <w:pPr>
      <w:numPr>
        <w:numId w:val="6"/>
      </w:numPr>
      <w:ind w:left="714" w:hanging="357"/>
      <w:contextualSpacing w:val="0"/>
    </w:pPr>
  </w:style>
  <w:style w:type="character" w:customStyle="1" w:styleId="FooterChar">
    <w:name w:val="Footer Char"/>
    <w:basedOn w:val="DefaultParagraphFont"/>
    <w:link w:val="Footer"/>
    <w:uiPriority w:val="99"/>
    <w:rsid w:val="00D3034B"/>
    <w:rPr>
      <w:rFonts w:ascii="Arial" w:hAnsi="Arial"/>
      <w:sz w:val="16"/>
      <w:szCs w:val="24"/>
      <w:lang w:eastAsia="en-US"/>
    </w:rPr>
  </w:style>
  <w:style w:type="table" w:styleId="ListTable2">
    <w:name w:val="List Table 2"/>
    <w:basedOn w:val="TableNormal"/>
    <w:uiPriority w:val="47"/>
    <w:rsid w:val="00C8555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5">
    <w:name w:val="Table Grid5"/>
    <w:basedOn w:val="TableNormal"/>
    <w:next w:val="TableGrid"/>
    <w:rsid w:val="0094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1">
    <w:name w:val="Bulleted List 1"/>
    <w:basedOn w:val="ListParagraph"/>
    <w:qFormat/>
    <w:rsid w:val="00C4782C"/>
    <w:pPr>
      <w:contextualSpacing w:val="0"/>
    </w:pPr>
    <w:rPr>
      <w:szCs w:val="20"/>
    </w:rPr>
  </w:style>
  <w:style w:type="table" w:customStyle="1" w:styleId="TableGrid6">
    <w:name w:val="Table Grid6"/>
    <w:basedOn w:val="TableNormal"/>
    <w:next w:val="TableGrid"/>
    <w:rsid w:val="00977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
    <w:name w:val="Style2"/>
    <w:basedOn w:val="TableNormal"/>
    <w:uiPriority w:val="99"/>
    <w:rsid w:val="00020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4846"/>
      </w:tcPr>
    </w:tblStylePr>
  </w:style>
  <w:style w:type="paragraph" w:customStyle="1" w:styleId="Heading21">
    <w:name w:val="Heading 21"/>
    <w:basedOn w:val="Heading2"/>
    <w:next w:val="Normal"/>
    <w:link w:val="Heading21Char"/>
    <w:autoRedefine/>
    <w:rsid w:val="00C36FED"/>
    <w:pPr>
      <w:spacing w:before="240" w:after="120"/>
      <w:ind w:left="578" w:hanging="578"/>
    </w:pPr>
    <w:rPr>
      <w:b/>
      <w:iCs w:val="0"/>
      <w:color w:val="003629"/>
      <w:sz w:val="28"/>
    </w:rPr>
  </w:style>
  <w:style w:type="paragraph" w:customStyle="1" w:styleId="Heading31">
    <w:name w:val="Heading 31"/>
    <w:basedOn w:val="Heading3"/>
    <w:next w:val="Normal"/>
    <w:autoRedefine/>
    <w:rsid w:val="000A13F7"/>
    <w:pPr>
      <w:spacing w:before="120" w:after="120"/>
    </w:pPr>
    <w:rPr>
      <w:b/>
      <w:iCs w:val="0"/>
      <w:color w:val="003629"/>
      <w:sz w:val="24"/>
    </w:rPr>
  </w:style>
  <w:style w:type="paragraph" w:customStyle="1" w:styleId="Heading11">
    <w:name w:val="Heading 11"/>
    <w:basedOn w:val="Heading1"/>
    <w:next w:val="Normal"/>
    <w:link w:val="Heading11Char"/>
    <w:rsid w:val="005D1303"/>
    <w:pPr>
      <w:pageBreakBefore/>
      <w:spacing w:after="240"/>
      <w:ind w:left="431" w:hanging="431"/>
    </w:pPr>
    <w:rPr>
      <w:iCs w:val="0"/>
      <w:color w:val="003629"/>
      <w:sz w:val="40"/>
    </w:rPr>
  </w:style>
  <w:style w:type="paragraph" w:customStyle="1" w:styleId="Heading41">
    <w:name w:val="Heading 41"/>
    <w:basedOn w:val="Heading4"/>
    <w:next w:val="Normal"/>
    <w:rsid w:val="00FC39DA"/>
    <w:rPr>
      <w:b/>
      <w:iCs w:val="0"/>
      <w:color w:val="003629"/>
    </w:rPr>
  </w:style>
  <w:style w:type="paragraph" w:customStyle="1" w:styleId="BulletedList2">
    <w:name w:val="Bulleted List 2"/>
    <w:basedOn w:val="BulletedList1"/>
    <w:qFormat/>
    <w:rsid w:val="006855B6"/>
    <w:pPr>
      <w:numPr>
        <w:ilvl w:val="1"/>
        <w:numId w:val="4"/>
      </w:numPr>
      <w:ind w:left="1080"/>
    </w:pPr>
  </w:style>
  <w:style w:type="paragraph" w:customStyle="1" w:styleId="TableText2">
    <w:name w:val="Table Text 2"/>
    <w:basedOn w:val="Normal"/>
    <w:rsid w:val="006930CF"/>
    <w:pPr>
      <w:tabs>
        <w:tab w:val="center" w:pos="4513"/>
        <w:tab w:val="right" w:pos="9026"/>
      </w:tabs>
    </w:pPr>
    <w:rPr>
      <w:rFonts w:cs="Arial"/>
      <w:sz w:val="20"/>
      <w:szCs w:val="18"/>
      <w:lang w:eastAsia="en-GB"/>
    </w:rPr>
  </w:style>
  <w:style w:type="paragraph" w:customStyle="1" w:styleId="TableText2Heading">
    <w:name w:val="Table Text 2 Heading"/>
    <w:basedOn w:val="Normal"/>
    <w:autoRedefine/>
    <w:rsid w:val="004E4F12"/>
    <w:rPr>
      <w:rFonts w:cs="Arial"/>
      <w:b/>
      <w:bCs/>
      <w:color w:val="FFFFFF" w:themeColor="background1"/>
      <w:sz w:val="20"/>
    </w:rPr>
  </w:style>
  <w:style w:type="paragraph" w:customStyle="1" w:styleId="TableText1">
    <w:name w:val="Table Text 1"/>
    <w:basedOn w:val="Normal"/>
    <w:rsid w:val="00E016AA"/>
    <w:rPr>
      <w:rFonts w:eastAsia="Arial" w:cs="Arial"/>
      <w:color w:val="000000" w:themeColor="text1"/>
      <w:szCs w:val="22"/>
    </w:rPr>
  </w:style>
  <w:style w:type="paragraph" w:customStyle="1" w:styleId="TableText1Heading">
    <w:name w:val="Table Text 1 Heading"/>
    <w:basedOn w:val="Normal"/>
    <w:qFormat/>
    <w:rsid w:val="00F01992"/>
    <w:pPr>
      <w:jc w:val="center"/>
    </w:pPr>
    <w:rPr>
      <w:b/>
      <w:bCs/>
      <w:color w:val="FFFFFF"/>
      <w:szCs w:val="20"/>
    </w:rPr>
  </w:style>
  <w:style w:type="paragraph" w:styleId="CommentText">
    <w:name w:val="annotation text"/>
    <w:basedOn w:val="Normal"/>
    <w:link w:val="CommentTextChar"/>
    <w:unhideWhenUsed/>
    <w:rsid w:val="003F371F"/>
    <w:rPr>
      <w:sz w:val="20"/>
      <w:szCs w:val="20"/>
    </w:rPr>
  </w:style>
  <w:style w:type="character" w:customStyle="1" w:styleId="CommentTextChar">
    <w:name w:val="Comment Text Char"/>
    <w:basedOn w:val="DefaultParagraphFont"/>
    <w:link w:val="CommentText"/>
    <w:rsid w:val="003F371F"/>
    <w:rPr>
      <w:rFonts w:ascii="Arial" w:hAnsi="Arial"/>
      <w:lang w:eastAsia="en-US"/>
    </w:rPr>
  </w:style>
  <w:style w:type="paragraph" w:styleId="Header">
    <w:name w:val="header"/>
    <w:basedOn w:val="Normal"/>
    <w:link w:val="HeaderChar"/>
    <w:semiHidden/>
    <w:unhideWhenUsed/>
    <w:rsid w:val="00030D9D"/>
    <w:pPr>
      <w:tabs>
        <w:tab w:val="center" w:pos="4513"/>
        <w:tab w:val="right" w:pos="9026"/>
      </w:tabs>
      <w:spacing w:before="0" w:after="0"/>
    </w:pPr>
  </w:style>
  <w:style w:type="character" w:customStyle="1" w:styleId="HeaderChar">
    <w:name w:val="Header Char"/>
    <w:basedOn w:val="DefaultParagraphFont"/>
    <w:link w:val="Header"/>
    <w:semiHidden/>
    <w:rsid w:val="00030D9D"/>
    <w:rPr>
      <w:rFonts w:ascii="Arial" w:hAnsi="Arial"/>
      <w:sz w:val="22"/>
      <w:szCs w:val="24"/>
      <w:lang w:eastAsia="en-US"/>
    </w:rPr>
  </w:style>
  <w:style w:type="paragraph" w:customStyle="1" w:styleId="APPENDIXHEADING">
    <w:name w:val="APPENDIX HEADING"/>
    <w:basedOn w:val="Heading11"/>
    <w:next w:val="Normal"/>
    <w:link w:val="APPENDIXHEADINGChar"/>
    <w:qFormat/>
    <w:rsid w:val="00DD7FEE"/>
    <w:pPr>
      <w:numPr>
        <w:numId w:val="0"/>
      </w:numPr>
    </w:pPr>
  </w:style>
  <w:style w:type="character" w:customStyle="1" w:styleId="Heading1Char">
    <w:name w:val="Heading 1 Char"/>
    <w:basedOn w:val="Heading2Char"/>
    <w:link w:val="Heading1"/>
    <w:rsid w:val="00DD7FEE"/>
    <w:rPr>
      <w:rFonts w:ascii="Arial" w:hAnsi="Arial" w:cs="Arial"/>
      <w:b/>
      <w:bCs/>
      <w:iCs/>
      <w:color w:val="000000" w:themeColor="text1"/>
      <w:sz w:val="32"/>
      <w:szCs w:val="28"/>
      <w:lang w:eastAsia="en-US"/>
    </w:rPr>
  </w:style>
  <w:style w:type="character" w:customStyle="1" w:styleId="Heading11Char">
    <w:name w:val="Heading 11 Char"/>
    <w:basedOn w:val="Heading1Char"/>
    <w:link w:val="Heading11"/>
    <w:rsid w:val="005D1303"/>
    <w:rPr>
      <w:rFonts w:ascii="Arial" w:hAnsi="Arial" w:cs="Arial"/>
      <w:b/>
      <w:bCs/>
      <w:iCs w:val="0"/>
      <w:color w:val="003629"/>
      <w:sz w:val="40"/>
      <w:szCs w:val="28"/>
      <w:lang w:eastAsia="en-US"/>
    </w:rPr>
  </w:style>
  <w:style w:type="character" w:customStyle="1" w:styleId="APPENDIXHEADINGChar">
    <w:name w:val="APPENDIX HEADING Char"/>
    <w:basedOn w:val="Heading11Char"/>
    <w:link w:val="APPENDIXHEADING"/>
    <w:rsid w:val="00DD7FEE"/>
    <w:rPr>
      <w:rFonts w:ascii="Arial" w:hAnsi="Arial" w:cs="Arial"/>
      <w:b/>
      <w:bCs/>
      <w:iCs w:val="0"/>
      <w:color w:val="003629"/>
      <w:sz w:val="40"/>
      <w:szCs w:val="28"/>
      <w:lang w:eastAsia="en-US"/>
    </w:rPr>
  </w:style>
  <w:style w:type="paragraph" w:customStyle="1" w:styleId="APPENDIXHEADING2">
    <w:name w:val="APPENDIX HEADING 2"/>
    <w:basedOn w:val="Heading21"/>
    <w:next w:val="Normal"/>
    <w:link w:val="APPENDIXHEADING2Char"/>
    <w:qFormat/>
    <w:rsid w:val="005C1F16"/>
    <w:pPr>
      <w:numPr>
        <w:ilvl w:val="0"/>
        <w:numId w:val="0"/>
      </w:numPr>
    </w:pPr>
  </w:style>
  <w:style w:type="character" w:customStyle="1" w:styleId="Heading21Char">
    <w:name w:val="Heading 21 Char"/>
    <w:basedOn w:val="Heading2Char"/>
    <w:link w:val="Heading21"/>
    <w:rsid w:val="005C1F16"/>
    <w:rPr>
      <w:rFonts w:ascii="Arial" w:hAnsi="Arial" w:cs="Arial"/>
      <w:b/>
      <w:bCs/>
      <w:iCs w:val="0"/>
      <w:color w:val="003629"/>
      <w:sz w:val="28"/>
      <w:szCs w:val="28"/>
      <w:lang w:eastAsia="en-US"/>
    </w:rPr>
  </w:style>
  <w:style w:type="character" w:customStyle="1" w:styleId="APPENDIXHEADING2Char">
    <w:name w:val="APPENDIX HEADING 2 Char"/>
    <w:basedOn w:val="Heading21Char"/>
    <w:link w:val="APPENDIXHEADING2"/>
    <w:rsid w:val="005C1F16"/>
    <w:rPr>
      <w:rFonts w:ascii="Arial" w:hAnsi="Arial" w:cs="Arial"/>
      <w:b/>
      <w:bCs/>
      <w:iCs w:val="0"/>
      <w:color w:val="003629"/>
      <w:sz w:val="28"/>
      <w:szCs w:val="28"/>
      <w:lang w:eastAsia="en-US"/>
    </w:rPr>
  </w:style>
  <w:style w:type="character" w:styleId="Mention">
    <w:name w:val="Mention"/>
    <w:basedOn w:val="DefaultParagraphFont"/>
    <w:uiPriority w:val="99"/>
    <w:unhideWhenUsed/>
    <w:rsid w:val="002C4E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8658">
      <w:bodyDiv w:val="1"/>
      <w:marLeft w:val="0"/>
      <w:marRight w:val="0"/>
      <w:marTop w:val="0"/>
      <w:marBottom w:val="0"/>
      <w:divBdr>
        <w:top w:val="none" w:sz="0" w:space="0" w:color="auto"/>
        <w:left w:val="none" w:sz="0" w:space="0" w:color="auto"/>
        <w:bottom w:val="none" w:sz="0" w:space="0" w:color="auto"/>
        <w:right w:val="none" w:sz="0" w:space="0" w:color="auto"/>
      </w:divBdr>
    </w:div>
    <w:div w:id="261308469">
      <w:bodyDiv w:val="1"/>
      <w:marLeft w:val="0"/>
      <w:marRight w:val="0"/>
      <w:marTop w:val="0"/>
      <w:marBottom w:val="0"/>
      <w:divBdr>
        <w:top w:val="none" w:sz="0" w:space="0" w:color="auto"/>
        <w:left w:val="none" w:sz="0" w:space="0" w:color="auto"/>
        <w:bottom w:val="none" w:sz="0" w:space="0" w:color="auto"/>
        <w:right w:val="none" w:sz="0" w:space="0" w:color="auto"/>
      </w:divBdr>
    </w:div>
    <w:div w:id="329718268">
      <w:bodyDiv w:val="1"/>
      <w:marLeft w:val="0"/>
      <w:marRight w:val="0"/>
      <w:marTop w:val="0"/>
      <w:marBottom w:val="0"/>
      <w:divBdr>
        <w:top w:val="none" w:sz="0" w:space="0" w:color="auto"/>
        <w:left w:val="none" w:sz="0" w:space="0" w:color="auto"/>
        <w:bottom w:val="none" w:sz="0" w:space="0" w:color="auto"/>
        <w:right w:val="none" w:sz="0" w:space="0" w:color="auto"/>
      </w:divBdr>
    </w:div>
    <w:div w:id="329914258">
      <w:bodyDiv w:val="1"/>
      <w:marLeft w:val="0"/>
      <w:marRight w:val="0"/>
      <w:marTop w:val="0"/>
      <w:marBottom w:val="0"/>
      <w:divBdr>
        <w:top w:val="none" w:sz="0" w:space="0" w:color="auto"/>
        <w:left w:val="none" w:sz="0" w:space="0" w:color="auto"/>
        <w:bottom w:val="none" w:sz="0" w:space="0" w:color="auto"/>
        <w:right w:val="none" w:sz="0" w:space="0" w:color="auto"/>
      </w:divBdr>
    </w:div>
    <w:div w:id="338125491">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76550452">
      <w:bodyDiv w:val="1"/>
      <w:marLeft w:val="0"/>
      <w:marRight w:val="0"/>
      <w:marTop w:val="0"/>
      <w:marBottom w:val="0"/>
      <w:divBdr>
        <w:top w:val="none" w:sz="0" w:space="0" w:color="auto"/>
        <w:left w:val="none" w:sz="0" w:space="0" w:color="auto"/>
        <w:bottom w:val="none" w:sz="0" w:space="0" w:color="auto"/>
        <w:right w:val="none" w:sz="0" w:space="0" w:color="auto"/>
      </w:divBdr>
    </w:div>
    <w:div w:id="617562219">
      <w:bodyDiv w:val="1"/>
      <w:marLeft w:val="0"/>
      <w:marRight w:val="0"/>
      <w:marTop w:val="0"/>
      <w:marBottom w:val="0"/>
      <w:divBdr>
        <w:top w:val="none" w:sz="0" w:space="0" w:color="auto"/>
        <w:left w:val="none" w:sz="0" w:space="0" w:color="auto"/>
        <w:bottom w:val="none" w:sz="0" w:space="0" w:color="auto"/>
        <w:right w:val="none" w:sz="0" w:space="0" w:color="auto"/>
      </w:divBdr>
    </w:div>
    <w:div w:id="752044846">
      <w:bodyDiv w:val="1"/>
      <w:marLeft w:val="0"/>
      <w:marRight w:val="0"/>
      <w:marTop w:val="0"/>
      <w:marBottom w:val="0"/>
      <w:divBdr>
        <w:top w:val="none" w:sz="0" w:space="0" w:color="auto"/>
        <w:left w:val="none" w:sz="0" w:space="0" w:color="auto"/>
        <w:bottom w:val="none" w:sz="0" w:space="0" w:color="auto"/>
        <w:right w:val="none" w:sz="0" w:space="0" w:color="auto"/>
      </w:divBdr>
      <w:divsChild>
        <w:div w:id="1560706525">
          <w:marLeft w:val="0"/>
          <w:marRight w:val="0"/>
          <w:marTop w:val="0"/>
          <w:marBottom w:val="0"/>
          <w:divBdr>
            <w:top w:val="none" w:sz="0" w:space="0" w:color="auto"/>
            <w:left w:val="none" w:sz="0" w:space="0" w:color="auto"/>
            <w:bottom w:val="none" w:sz="0" w:space="0" w:color="auto"/>
            <w:right w:val="none" w:sz="0" w:space="0" w:color="auto"/>
          </w:divBdr>
        </w:div>
      </w:divsChild>
    </w:div>
    <w:div w:id="831214472">
      <w:bodyDiv w:val="1"/>
      <w:marLeft w:val="0"/>
      <w:marRight w:val="0"/>
      <w:marTop w:val="0"/>
      <w:marBottom w:val="0"/>
      <w:divBdr>
        <w:top w:val="none" w:sz="0" w:space="0" w:color="auto"/>
        <w:left w:val="none" w:sz="0" w:space="0" w:color="auto"/>
        <w:bottom w:val="none" w:sz="0" w:space="0" w:color="auto"/>
        <w:right w:val="none" w:sz="0" w:space="0" w:color="auto"/>
      </w:divBdr>
    </w:div>
    <w:div w:id="867836438">
      <w:bodyDiv w:val="1"/>
      <w:marLeft w:val="0"/>
      <w:marRight w:val="0"/>
      <w:marTop w:val="0"/>
      <w:marBottom w:val="0"/>
      <w:divBdr>
        <w:top w:val="none" w:sz="0" w:space="0" w:color="auto"/>
        <w:left w:val="none" w:sz="0" w:space="0" w:color="auto"/>
        <w:bottom w:val="none" w:sz="0" w:space="0" w:color="auto"/>
        <w:right w:val="none" w:sz="0" w:space="0" w:color="auto"/>
      </w:divBdr>
    </w:div>
    <w:div w:id="893321550">
      <w:bodyDiv w:val="1"/>
      <w:marLeft w:val="0"/>
      <w:marRight w:val="0"/>
      <w:marTop w:val="0"/>
      <w:marBottom w:val="0"/>
      <w:divBdr>
        <w:top w:val="none" w:sz="0" w:space="0" w:color="auto"/>
        <w:left w:val="none" w:sz="0" w:space="0" w:color="auto"/>
        <w:bottom w:val="none" w:sz="0" w:space="0" w:color="auto"/>
        <w:right w:val="none" w:sz="0" w:space="0" w:color="auto"/>
      </w:divBdr>
    </w:div>
    <w:div w:id="991375557">
      <w:bodyDiv w:val="1"/>
      <w:marLeft w:val="0"/>
      <w:marRight w:val="0"/>
      <w:marTop w:val="0"/>
      <w:marBottom w:val="0"/>
      <w:divBdr>
        <w:top w:val="none" w:sz="0" w:space="0" w:color="auto"/>
        <w:left w:val="none" w:sz="0" w:space="0" w:color="auto"/>
        <w:bottom w:val="none" w:sz="0" w:space="0" w:color="auto"/>
        <w:right w:val="none" w:sz="0" w:space="0" w:color="auto"/>
      </w:divBdr>
    </w:div>
    <w:div w:id="998925305">
      <w:bodyDiv w:val="1"/>
      <w:marLeft w:val="0"/>
      <w:marRight w:val="0"/>
      <w:marTop w:val="0"/>
      <w:marBottom w:val="0"/>
      <w:divBdr>
        <w:top w:val="none" w:sz="0" w:space="0" w:color="auto"/>
        <w:left w:val="none" w:sz="0" w:space="0" w:color="auto"/>
        <w:bottom w:val="none" w:sz="0" w:space="0" w:color="auto"/>
        <w:right w:val="none" w:sz="0" w:space="0" w:color="auto"/>
      </w:divBdr>
    </w:div>
    <w:div w:id="1018388992">
      <w:bodyDiv w:val="1"/>
      <w:marLeft w:val="0"/>
      <w:marRight w:val="0"/>
      <w:marTop w:val="0"/>
      <w:marBottom w:val="0"/>
      <w:divBdr>
        <w:top w:val="none" w:sz="0" w:space="0" w:color="auto"/>
        <w:left w:val="none" w:sz="0" w:space="0" w:color="auto"/>
        <w:bottom w:val="none" w:sz="0" w:space="0" w:color="auto"/>
        <w:right w:val="none" w:sz="0" w:space="0" w:color="auto"/>
      </w:divBdr>
    </w:div>
    <w:div w:id="1075081126">
      <w:bodyDiv w:val="1"/>
      <w:marLeft w:val="0"/>
      <w:marRight w:val="0"/>
      <w:marTop w:val="0"/>
      <w:marBottom w:val="0"/>
      <w:divBdr>
        <w:top w:val="none" w:sz="0" w:space="0" w:color="auto"/>
        <w:left w:val="none" w:sz="0" w:space="0" w:color="auto"/>
        <w:bottom w:val="none" w:sz="0" w:space="0" w:color="auto"/>
        <w:right w:val="none" w:sz="0" w:space="0" w:color="auto"/>
      </w:divBdr>
    </w:div>
    <w:div w:id="1107654732">
      <w:bodyDiv w:val="1"/>
      <w:marLeft w:val="0"/>
      <w:marRight w:val="0"/>
      <w:marTop w:val="0"/>
      <w:marBottom w:val="0"/>
      <w:divBdr>
        <w:top w:val="none" w:sz="0" w:space="0" w:color="auto"/>
        <w:left w:val="none" w:sz="0" w:space="0" w:color="auto"/>
        <w:bottom w:val="none" w:sz="0" w:space="0" w:color="auto"/>
        <w:right w:val="none" w:sz="0" w:space="0" w:color="auto"/>
      </w:divBdr>
    </w:div>
    <w:div w:id="1116364818">
      <w:bodyDiv w:val="1"/>
      <w:marLeft w:val="0"/>
      <w:marRight w:val="0"/>
      <w:marTop w:val="0"/>
      <w:marBottom w:val="0"/>
      <w:divBdr>
        <w:top w:val="none" w:sz="0" w:space="0" w:color="auto"/>
        <w:left w:val="none" w:sz="0" w:space="0" w:color="auto"/>
        <w:bottom w:val="none" w:sz="0" w:space="0" w:color="auto"/>
        <w:right w:val="none" w:sz="0" w:space="0" w:color="auto"/>
      </w:divBdr>
    </w:div>
    <w:div w:id="1139298362">
      <w:bodyDiv w:val="1"/>
      <w:marLeft w:val="0"/>
      <w:marRight w:val="0"/>
      <w:marTop w:val="0"/>
      <w:marBottom w:val="0"/>
      <w:divBdr>
        <w:top w:val="none" w:sz="0" w:space="0" w:color="auto"/>
        <w:left w:val="none" w:sz="0" w:space="0" w:color="auto"/>
        <w:bottom w:val="none" w:sz="0" w:space="0" w:color="auto"/>
        <w:right w:val="none" w:sz="0" w:space="0" w:color="auto"/>
      </w:divBdr>
    </w:div>
    <w:div w:id="1256942694">
      <w:bodyDiv w:val="1"/>
      <w:marLeft w:val="0"/>
      <w:marRight w:val="0"/>
      <w:marTop w:val="0"/>
      <w:marBottom w:val="0"/>
      <w:divBdr>
        <w:top w:val="none" w:sz="0" w:space="0" w:color="auto"/>
        <w:left w:val="none" w:sz="0" w:space="0" w:color="auto"/>
        <w:bottom w:val="none" w:sz="0" w:space="0" w:color="auto"/>
        <w:right w:val="none" w:sz="0" w:space="0" w:color="auto"/>
      </w:divBdr>
      <w:divsChild>
        <w:div w:id="143473591">
          <w:marLeft w:val="0"/>
          <w:marRight w:val="0"/>
          <w:marTop w:val="0"/>
          <w:marBottom w:val="0"/>
          <w:divBdr>
            <w:top w:val="none" w:sz="0" w:space="0" w:color="auto"/>
            <w:left w:val="none" w:sz="0" w:space="0" w:color="auto"/>
            <w:bottom w:val="none" w:sz="0" w:space="0" w:color="auto"/>
            <w:right w:val="none" w:sz="0" w:space="0" w:color="auto"/>
          </w:divBdr>
        </w:div>
        <w:div w:id="748431138">
          <w:marLeft w:val="0"/>
          <w:marRight w:val="0"/>
          <w:marTop w:val="0"/>
          <w:marBottom w:val="0"/>
          <w:divBdr>
            <w:top w:val="none" w:sz="0" w:space="0" w:color="auto"/>
            <w:left w:val="none" w:sz="0" w:space="0" w:color="auto"/>
            <w:bottom w:val="none" w:sz="0" w:space="0" w:color="auto"/>
            <w:right w:val="none" w:sz="0" w:space="0" w:color="auto"/>
          </w:divBdr>
        </w:div>
        <w:div w:id="1013335744">
          <w:marLeft w:val="0"/>
          <w:marRight w:val="0"/>
          <w:marTop w:val="0"/>
          <w:marBottom w:val="0"/>
          <w:divBdr>
            <w:top w:val="none" w:sz="0" w:space="0" w:color="auto"/>
            <w:left w:val="none" w:sz="0" w:space="0" w:color="auto"/>
            <w:bottom w:val="none" w:sz="0" w:space="0" w:color="auto"/>
            <w:right w:val="none" w:sz="0" w:space="0" w:color="auto"/>
          </w:divBdr>
        </w:div>
        <w:div w:id="1069771472">
          <w:marLeft w:val="0"/>
          <w:marRight w:val="0"/>
          <w:marTop w:val="0"/>
          <w:marBottom w:val="0"/>
          <w:divBdr>
            <w:top w:val="none" w:sz="0" w:space="0" w:color="auto"/>
            <w:left w:val="none" w:sz="0" w:space="0" w:color="auto"/>
            <w:bottom w:val="none" w:sz="0" w:space="0" w:color="auto"/>
            <w:right w:val="none" w:sz="0" w:space="0" w:color="auto"/>
          </w:divBdr>
        </w:div>
        <w:div w:id="1176187458">
          <w:marLeft w:val="0"/>
          <w:marRight w:val="0"/>
          <w:marTop w:val="0"/>
          <w:marBottom w:val="0"/>
          <w:divBdr>
            <w:top w:val="none" w:sz="0" w:space="0" w:color="auto"/>
            <w:left w:val="none" w:sz="0" w:space="0" w:color="auto"/>
            <w:bottom w:val="none" w:sz="0" w:space="0" w:color="auto"/>
            <w:right w:val="none" w:sz="0" w:space="0" w:color="auto"/>
          </w:divBdr>
        </w:div>
        <w:div w:id="1189299367">
          <w:marLeft w:val="0"/>
          <w:marRight w:val="0"/>
          <w:marTop w:val="0"/>
          <w:marBottom w:val="0"/>
          <w:divBdr>
            <w:top w:val="none" w:sz="0" w:space="0" w:color="auto"/>
            <w:left w:val="none" w:sz="0" w:space="0" w:color="auto"/>
            <w:bottom w:val="none" w:sz="0" w:space="0" w:color="auto"/>
            <w:right w:val="none" w:sz="0" w:space="0" w:color="auto"/>
          </w:divBdr>
        </w:div>
        <w:div w:id="1314988676">
          <w:marLeft w:val="0"/>
          <w:marRight w:val="0"/>
          <w:marTop w:val="0"/>
          <w:marBottom w:val="0"/>
          <w:divBdr>
            <w:top w:val="none" w:sz="0" w:space="0" w:color="auto"/>
            <w:left w:val="none" w:sz="0" w:space="0" w:color="auto"/>
            <w:bottom w:val="none" w:sz="0" w:space="0" w:color="auto"/>
            <w:right w:val="none" w:sz="0" w:space="0" w:color="auto"/>
          </w:divBdr>
        </w:div>
        <w:div w:id="1320961155">
          <w:marLeft w:val="0"/>
          <w:marRight w:val="0"/>
          <w:marTop w:val="0"/>
          <w:marBottom w:val="0"/>
          <w:divBdr>
            <w:top w:val="none" w:sz="0" w:space="0" w:color="auto"/>
            <w:left w:val="none" w:sz="0" w:space="0" w:color="auto"/>
            <w:bottom w:val="none" w:sz="0" w:space="0" w:color="auto"/>
            <w:right w:val="none" w:sz="0" w:space="0" w:color="auto"/>
          </w:divBdr>
        </w:div>
        <w:div w:id="1421482857">
          <w:marLeft w:val="0"/>
          <w:marRight w:val="0"/>
          <w:marTop w:val="0"/>
          <w:marBottom w:val="0"/>
          <w:divBdr>
            <w:top w:val="none" w:sz="0" w:space="0" w:color="auto"/>
            <w:left w:val="none" w:sz="0" w:space="0" w:color="auto"/>
            <w:bottom w:val="none" w:sz="0" w:space="0" w:color="auto"/>
            <w:right w:val="none" w:sz="0" w:space="0" w:color="auto"/>
          </w:divBdr>
        </w:div>
        <w:div w:id="1772503270">
          <w:marLeft w:val="0"/>
          <w:marRight w:val="0"/>
          <w:marTop w:val="0"/>
          <w:marBottom w:val="0"/>
          <w:divBdr>
            <w:top w:val="none" w:sz="0" w:space="0" w:color="auto"/>
            <w:left w:val="none" w:sz="0" w:space="0" w:color="auto"/>
            <w:bottom w:val="none" w:sz="0" w:space="0" w:color="auto"/>
            <w:right w:val="none" w:sz="0" w:space="0" w:color="auto"/>
          </w:divBdr>
        </w:div>
        <w:div w:id="1996034611">
          <w:marLeft w:val="0"/>
          <w:marRight w:val="0"/>
          <w:marTop w:val="0"/>
          <w:marBottom w:val="0"/>
          <w:divBdr>
            <w:top w:val="none" w:sz="0" w:space="0" w:color="auto"/>
            <w:left w:val="none" w:sz="0" w:space="0" w:color="auto"/>
            <w:bottom w:val="none" w:sz="0" w:space="0" w:color="auto"/>
            <w:right w:val="none" w:sz="0" w:space="0" w:color="auto"/>
          </w:divBdr>
        </w:div>
      </w:divsChild>
    </w:div>
    <w:div w:id="1334458730">
      <w:bodyDiv w:val="1"/>
      <w:marLeft w:val="0"/>
      <w:marRight w:val="0"/>
      <w:marTop w:val="0"/>
      <w:marBottom w:val="0"/>
      <w:divBdr>
        <w:top w:val="none" w:sz="0" w:space="0" w:color="auto"/>
        <w:left w:val="none" w:sz="0" w:space="0" w:color="auto"/>
        <w:bottom w:val="none" w:sz="0" w:space="0" w:color="auto"/>
        <w:right w:val="none" w:sz="0" w:space="0" w:color="auto"/>
      </w:divBdr>
    </w:div>
    <w:div w:id="1415131232">
      <w:bodyDiv w:val="1"/>
      <w:marLeft w:val="0"/>
      <w:marRight w:val="0"/>
      <w:marTop w:val="0"/>
      <w:marBottom w:val="0"/>
      <w:divBdr>
        <w:top w:val="none" w:sz="0" w:space="0" w:color="auto"/>
        <w:left w:val="none" w:sz="0" w:space="0" w:color="auto"/>
        <w:bottom w:val="none" w:sz="0" w:space="0" w:color="auto"/>
        <w:right w:val="none" w:sz="0" w:space="0" w:color="auto"/>
      </w:divBdr>
    </w:div>
    <w:div w:id="1443768144">
      <w:bodyDiv w:val="1"/>
      <w:marLeft w:val="0"/>
      <w:marRight w:val="0"/>
      <w:marTop w:val="0"/>
      <w:marBottom w:val="0"/>
      <w:divBdr>
        <w:top w:val="none" w:sz="0" w:space="0" w:color="auto"/>
        <w:left w:val="none" w:sz="0" w:space="0" w:color="auto"/>
        <w:bottom w:val="none" w:sz="0" w:space="0" w:color="auto"/>
        <w:right w:val="none" w:sz="0" w:space="0" w:color="auto"/>
      </w:divBdr>
    </w:div>
    <w:div w:id="1591084048">
      <w:bodyDiv w:val="1"/>
      <w:marLeft w:val="0"/>
      <w:marRight w:val="0"/>
      <w:marTop w:val="0"/>
      <w:marBottom w:val="0"/>
      <w:divBdr>
        <w:top w:val="none" w:sz="0" w:space="0" w:color="auto"/>
        <w:left w:val="none" w:sz="0" w:space="0" w:color="auto"/>
        <w:bottom w:val="none" w:sz="0" w:space="0" w:color="auto"/>
        <w:right w:val="none" w:sz="0" w:space="0" w:color="auto"/>
      </w:divBdr>
    </w:div>
    <w:div w:id="1749619848">
      <w:bodyDiv w:val="1"/>
      <w:marLeft w:val="0"/>
      <w:marRight w:val="0"/>
      <w:marTop w:val="0"/>
      <w:marBottom w:val="0"/>
      <w:divBdr>
        <w:top w:val="none" w:sz="0" w:space="0" w:color="auto"/>
        <w:left w:val="none" w:sz="0" w:space="0" w:color="auto"/>
        <w:bottom w:val="none" w:sz="0" w:space="0" w:color="auto"/>
        <w:right w:val="none" w:sz="0" w:space="0" w:color="auto"/>
      </w:divBdr>
    </w:div>
    <w:div w:id="1905681157">
      <w:bodyDiv w:val="1"/>
      <w:marLeft w:val="0"/>
      <w:marRight w:val="0"/>
      <w:marTop w:val="0"/>
      <w:marBottom w:val="0"/>
      <w:divBdr>
        <w:top w:val="none" w:sz="0" w:space="0" w:color="auto"/>
        <w:left w:val="none" w:sz="0" w:space="0" w:color="auto"/>
        <w:bottom w:val="none" w:sz="0" w:space="0" w:color="auto"/>
        <w:right w:val="none" w:sz="0" w:space="0" w:color="auto"/>
      </w:divBdr>
    </w:div>
    <w:div w:id="19430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7.png"/><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hodgson\AppData\Local\Microsoft\Windows\Temporary%20Internet%20Files\Content.IE5\26WR4MNC\NDA%20Gener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033a234-c704-4e9b-9e67-19f260df118c">
      <UserInfo>
        <DisplayName>Masson, Dave (NWS)</DisplayName>
        <AccountId>52</AccountId>
        <AccountType/>
      </UserInfo>
      <UserInfo>
        <DisplayName>Smith, Dave (NWS)</DisplayName>
        <AccountId>31</AccountId>
        <AccountType/>
      </UserInfo>
      <UserInfo>
        <DisplayName>David, Owen (NWS)</DisplayName>
        <AccountId>46</AccountId>
        <AccountType/>
      </UserInfo>
      <UserInfo>
        <DisplayName>Eldred, Chris (NWS)</DisplayName>
        <AccountId>36</AccountId>
        <AccountType/>
      </UserInfo>
      <UserInfo>
        <DisplayName>Batstone, Andrew (NWS)</DisplayName>
        <AccountId>10</AccountId>
        <AccountType/>
      </UserInfo>
    </SharedWithUsers>
    <_dlc_DocId xmlns="6033a234-c704-4e9b-9e67-19f260df118c">2026-2088683862-64232</_dlc_DocId>
    <_dlc_DocIdUrl xmlns="6033a234-c704-4e9b-9e67-19f260df118c">
      <Url>https://llwrsite0.sharepoint.com/sites/-RWMProgrammeManagementOffice/_layouts/15/DocIdRedir.aspx?ID=2026-2088683862-64232</Url>
      <Description>2026-2088683862-64232</Description>
    </_dlc_DocIdUrl>
    <_dlc_DocIdPersistId xmlns="6033a234-c704-4e9b-9e67-19f260df118c" xsi:nil="true"/>
    <Comments xmlns="4742dee6-65f8-4694-a837-d32f984e5d86" xsi:nil="true"/>
    <ItemType xmlns="4742dee6-65f8-4694-a837-d32f984e5d86" xsi:nil="true"/>
    <Date xmlns="4742dee6-65f8-4694-a837-d32f984e5d86" xsi:nil="true"/>
    <TaxCatchAll xmlns="6033a234-c704-4e9b-9e67-19f260df118c" xsi:nil="true"/>
    <lcf76f155ced4ddcb4097134ff3c332f xmlns="4742dee6-65f8-4694-a837-d32f984e5d86">
      <Terms xmlns="http://schemas.microsoft.com/office/infopath/2007/PartnerControls"/>
    </lcf76f155ced4ddcb4097134ff3c332f>
    <_Flow_SignoffStatus xmlns="4742dee6-65f8-4694-a837-d32f984e5d86" xsi:nil="true"/>
    <DocNumber xmlns="4742dee6-65f8-4694-a837-d32f984e5d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9D4FCBE61CF478E2D7AD18532284C" ma:contentTypeVersion="30" ma:contentTypeDescription="Create a new document." ma:contentTypeScope="" ma:versionID="311c69e1ebce667ce887f6524446c473">
  <xsd:schema xmlns:xsd="http://www.w3.org/2001/XMLSchema" xmlns:xs="http://www.w3.org/2001/XMLSchema" xmlns:p="http://schemas.microsoft.com/office/2006/metadata/properties" xmlns:ns2="4742dee6-65f8-4694-a837-d32f984e5d86" xmlns:ns3="6033a234-c704-4e9b-9e67-19f260df118c" targetNamespace="http://schemas.microsoft.com/office/2006/metadata/properties" ma:root="true" ma:fieldsID="2f90f2b0df5f795c1b18bab2721d3563" ns2:_="" ns3:_="">
    <xsd:import namespace="4742dee6-65f8-4694-a837-d32f984e5d86"/>
    <xsd:import namespace="6033a234-c704-4e9b-9e67-19f260df118c"/>
    <xsd:element name="properties">
      <xsd:complexType>
        <xsd:sequence>
          <xsd:element name="documentManagement">
            <xsd:complexType>
              <xsd:all>
                <xsd:element ref="ns2:Comments" minOccurs="0"/>
                <xsd:element ref="ns2:ItemType" minOccurs="0"/>
                <xsd:element ref="ns3:_dlc_DocIdUrl" minOccurs="0"/>
                <xsd:element ref="ns2:Date"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2:MediaServiceSearchProperties" minOccurs="0"/>
                <xsd:element ref="ns3:_dlc_DocId" minOccurs="0"/>
                <xsd:element ref="ns3:SharedWithDetails" minOccurs="0"/>
                <xsd:element ref="ns3:_dlc_DocIdPersistId" minOccurs="0"/>
                <xsd:element ref="ns2:MediaServiceMetadata" minOccurs="0"/>
                <xsd:element ref="ns2:MediaServiceLocation" minOccurs="0"/>
                <xsd:element ref="ns2:_Flow_SignoffStatus" minOccurs="0"/>
                <xsd:element ref="ns2: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2dee6-65f8-4694-a837-d32f984e5d86" elementFormDefault="qualified">
    <xsd:import namespace="http://schemas.microsoft.com/office/2006/documentManagement/types"/>
    <xsd:import namespace="http://schemas.microsoft.com/office/infopath/2007/PartnerControls"/>
    <xsd:element name="Comments" ma:index="2" nillable="true" ma:displayName="Comments" ma:internalName="Comments" ma:readOnly="false">
      <xsd:simpleType>
        <xsd:restriction base="dms:Text">
          <xsd:maxLength value="255"/>
        </xsd:restriction>
      </xsd:simpleType>
    </xsd:element>
    <xsd:element name="ItemType" ma:index="4" nillable="true" ma:displayName="Status" ma:format="Dropdown" ma:indexed="true" ma:internalName="ItemType" ma:readOnly="false">
      <xsd:simpleType>
        <xsd:restriction base="dms:Choice">
          <xsd:enumeration value="Final"/>
          <xsd:enumeration value="Draft"/>
        </xsd:restriction>
      </xsd:simpleType>
    </xsd:element>
    <xsd:element name="Date" ma:index="6" nillable="true" ma:displayName="Date" ma:format="DateOnly" ma:internalName="Date" ma:readOnly="false">
      <xsd:simpleType>
        <xsd:restriction base="dms:DateTim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8e5a3fe-e8e7-4ecd-beff-a390577bb8e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_Flow_SignoffStatus" ma:index="29" nillable="true" ma:displayName="Sign-off status" ma:internalName="_x0024_Resources_x003a_core_x002c_Signoff_Status">
      <xsd:simpleType>
        <xsd:restriction base="dms:Text"/>
      </xsd:simpleType>
    </xsd:element>
    <xsd:element name="DocNumber" ma:index="30" nillable="true" ma:displayName="Doc Number" ma:format="Dropdown" ma:internalName="Doc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3a234-c704-4e9b-9e67-19f260df118c" elementFormDefault="qualified">
    <xsd:import namespace="http://schemas.microsoft.com/office/2006/documentManagement/types"/>
    <xsd:import namespace="http://schemas.microsoft.com/office/infopath/2007/PartnerControls"/>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0" nillable="true" ma:displayName="Taxonomy Catch All Column" ma:hidden="true" ma:list="{ec2ed41a-f401-4783-b373-2732fc859dfa}" ma:internalName="TaxCatchAll" ma:readOnly="false" ma:showField="CatchAllData" ma:web="6033a234-c704-4e9b-9e67-19f260df11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4" nillable="true" ma:displayName="Document ID Value" ma:description="The value of the document ID assigned to this item." ma:hidden="true" ma:indexed="true" ma:internalName="_dlc_DocId" ma:readOnly="true">
      <xsd:simpleType>
        <xsd:restriction base="dms:Text"/>
      </xsd:simpleType>
    </xsd:element>
    <xsd:element name="SharedWithDetails" ma:index="25" nillable="true" ma:displayName="Shared With Details" ma:description="" ma:hidden="true" ma:internalName="SharedWithDetails" ma:readOnly="true">
      <xsd:simpleType>
        <xsd:restriction base="dms:Note"/>
      </xsd:simple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AFD6D5-0210-4057-B679-63293E73B0FD}">
  <ds:schemaRefs>
    <ds:schemaRef ds:uri="http://purl.org/dc/elements/1.1/"/>
    <ds:schemaRef ds:uri="http://schemas.microsoft.com/office/infopath/2007/PartnerControls"/>
    <ds:schemaRef ds:uri="4742dee6-65f8-4694-a837-d32f984e5d86"/>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 ds:uri="6033a234-c704-4e9b-9e67-19f260df118c"/>
    <ds:schemaRef ds:uri="http://schemas.microsoft.com/office/2006/metadata/properties"/>
  </ds:schemaRefs>
</ds:datastoreItem>
</file>

<file path=customXml/itemProps2.xml><?xml version="1.0" encoding="utf-8"?>
<ds:datastoreItem xmlns:ds="http://schemas.openxmlformats.org/officeDocument/2006/customXml" ds:itemID="{7A403BF5-0F18-494D-93DD-393B85B94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2dee6-65f8-4694-a837-d32f984e5d86"/>
    <ds:schemaRef ds:uri="6033a234-c704-4e9b-9e67-19f260df1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C3534-C882-4641-AF25-DF1179627073}">
  <ds:schemaRefs>
    <ds:schemaRef ds:uri="http://schemas.openxmlformats.org/officeDocument/2006/bibliography"/>
  </ds:schemaRefs>
</ds:datastoreItem>
</file>

<file path=customXml/itemProps4.xml><?xml version="1.0" encoding="utf-8"?>
<ds:datastoreItem xmlns:ds="http://schemas.openxmlformats.org/officeDocument/2006/customXml" ds:itemID="{C9103821-367A-4603-8891-8B26262568ED}">
  <ds:schemaRefs>
    <ds:schemaRef ds:uri="http://schemas.microsoft.com/sharepoint/v3/contenttype/forms"/>
  </ds:schemaRefs>
</ds:datastoreItem>
</file>

<file path=customXml/itemProps5.xml><?xml version="1.0" encoding="utf-8"?>
<ds:datastoreItem xmlns:ds="http://schemas.openxmlformats.org/officeDocument/2006/customXml" ds:itemID="{36433AC7-4656-4352-AE82-3CF77F3B32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NDA General Document Template</Template>
  <TotalTime>0</TotalTime>
  <Pages>19</Pages>
  <Words>4406</Words>
  <Characters>25119</Characters>
  <Application>Microsoft Office Word</Application>
  <DocSecurity>0</DocSecurity>
  <Lines>209</Lines>
  <Paragraphs>58</Paragraphs>
  <ScaleCrop>false</ScaleCrop>
  <Company>test</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Nuclear Decommissioning Authority</dc:creator>
  <cp:keywords/>
  <dc:description/>
  <cp:lastModifiedBy>Batstone, Andrew (NWS)</cp:lastModifiedBy>
  <cp:revision>2</cp:revision>
  <cp:lastPrinted>2025-09-19T13:32:00Z</cp:lastPrinted>
  <dcterms:created xsi:type="dcterms:W3CDTF">2025-09-22T13:19:00Z</dcterms:created>
  <dcterms:modified xsi:type="dcterms:W3CDTF">2025-09-22T13:19:00Z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1cb63754-bba9-41b9-ac2f-694933b04be2</vt:lpwstr>
  </property>
  <property fmtid="{D5CDD505-2E9C-101B-9397-08002B2CF9AE}" pid="3" name="Offisync_ProviderInitializationData">
    <vt:lpwstr>https://ecosystem.org.uk</vt:lpwstr>
  </property>
  <property fmtid="{D5CDD505-2E9C-101B-9397-08002B2CF9AE}" pid="4" name="Jive_VersionGuid">
    <vt:lpwstr>88277669-bd41-46e4-803e-52f8bec01798</vt:lpwstr>
  </property>
  <property fmtid="{D5CDD505-2E9C-101B-9397-08002B2CF9AE}" pid="5" name="Offisync_UpdateToken">
    <vt:lpwstr>3</vt:lpwstr>
  </property>
  <property fmtid="{D5CDD505-2E9C-101B-9397-08002B2CF9AE}" pid="6" name="Jive_LatestUserAccountName">
    <vt:lpwstr>ian.wilson@nda.gov.uk</vt:lpwstr>
  </property>
  <property fmtid="{D5CDD505-2E9C-101B-9397-08002B2CF9AE}" pid="7" name="Offisync_UniqueId">
    <vt:lpwstr>69787</vt:lpwstr>
  </property>
  <property fmtid="{D5CDD505-2E9C-101B-9397-08002B2CF9AE}" pid="8" name="MSIP_Label_002fffcc-0b75-4fc5-9391-81f23a104fec_Enabled">
    <vt:lpwstr>true</vt:lpwstr>
  </property>
  <property fmtid="{D5CDD505-2E9C-101B-9397-08002B2CF9AE}" pid="9" name="MSIP_Label_002fffcc-0b75-4fc5-9391-81f23a104fec_SetDate">
    <vt:lpwstr>2021-12-07T08:22:04Z</vt:lpwstr>
  </property>
  <property fmtid="{D5CDD505-2E9C-101B-9397-08002B2CF9AE}" pid="10" name="MSIP_Label_002fffcc-0b75-4fc5-9391-81f23a104fec_Method">
    <vt:lpwstr>Privileged</vt:lpwstr>
  </property>
  <property fmtid="{D5CDD505-2E9C-101B-9397-08002B2CF9AE}" pid="11" name="MSIP_Label_002fffcc-0b75-4fc5-9391-81f23a104fec_Name">
    <vt:lpwstr>OFFICIAL (not marked)</vt:lpwstr>
  </property>
  <property fmtid="{D5CDD505-2E9C-101B-9397-08002B2CF9AE}" pid="12" name="MSIP_Label_002fffcc-0b75-4fc5-9391-81f23a104fec_SiteId">
    <vt:lpwstr>ee032e7f-73e4-457a-a0c4-cfbe17e33ceb</vt:lpwstr>
  </property>
  <property fmtid="{D5CDD505-2E9C-101B-9397-08002B2CF9AE}" pid="13" name="MSIP_Label_002fffcc-0b75-4fc5-9391-81f23a104fec_ActionId">
    <vt:lpwstr>27c11211-8df6-44ab-8663-6e08dfd7f4f5</vt:lpwstr>
  </property>
  <property fmtid="{D5CDD505-2E9C-101B-9397-08002B2CF9AE}" pid="14" name="MSIP_Label_002fffcc-0b75-4fc5-9391-81f23a104fec_ContentBits">
    <vt:lpwstr>0</vt:lpwstr>
  </property>
  <property fmtid="{D5CDD505-2E9C-101B-9397-08002B2CF9AE}" pid="15" name="ClassificationContentMarkingHeaderShapeIds">
    <vt:lpwstr>7,8,9</vt:lpwstr>
  </property>
  <property fmtid="{D5CDD505-2E9C-101B-9397-08002B2CF9AE}" pid="16" name="ClassificationContentMarkingHeaderFontProps">
    <vt:lpwstr>#000000,10,Calibri</vt:lpwstr>
  </property>
  <property fmtid="{D5CDD505-2E9C-101B-9397-08002B2CF9AE}" pid="17" name="ClassificationContentMarkingHeaderText">
    <vt:lpwstr>OFFICIAL</vt:lpwstr>
  </property>
  <property fmtid="{D5CDD505-2E9C-101B-9397-08002B2CF9AE}" pid="18" name="MSIP_Label_19cc7ebe-3455-450c-a5d2-14ba1adb1286_Enabled">
    <vt:lpwstr>true</vt:lpwstr>
  </property>
  <property fmtid="{D5CDD505-2E9C-101B-9397-08002B2CF9AE}" pid="19" name="MSIP_Label_19cc7ebe-3455-450c-a5d2-14ba1adb1286_SetDate">
    <vt:lpwstr>2023-09-13T13:48:09Z</vt:lpwstr>
  </property>
  <property fmtid="{D5CDD505-2E9C-101B-9397-08002B2CF9AE}" pid="20" name="MSIP_Label_19cc7ebe-3455-450c-a5d2-14ba1adb1286_Method">
    <vt:lpwstr>Privileged</vt:lpwstr>
  </property>
  <property fmtid="{D5CDD505-2E9C-101B-9397-08002B2CF9AE}" pid="21" name="MSIP_Label_19cc7ebe-3455-450c-a5d2-14ba1adb1286_Name">
    <vt:lpwstr>OFFICIAL-Marking</vt:lpwstr>
  </property>
  <property fmtid="{D5CDD505-2E9C-101B-9397-08002B2CF9AE}" pid="22" name="MSIP_Label_19cc7ebe-3455-450c-a5d2-14ba1adb1286_SiteId">
    <vt:lpwstr>1929b5b6-230e-4b2e-837a-b96f0a9b1b56</vt:lpwstr>
  </property>
  <property fmtid="{D5CDD505-2E9C-101B-9397-08002B2CF9AE}" pid="23" name="MSIP_Label_19cc7ebe-3455-450c-a5d2-14ba1adb1286_ActionId">
    <vt:lpwstr>0074748f-186e-48af-82d3-6aa28e8f27b7</vt:lpwstr>
  </property>
  <property fmtid="{D5CDD505-2E9C-101B-9397-08002B2CF9AE}" pid="24" name="MSIP_Label_19cc7ebe-3455-450c-a5d2-14ba1adb1286_ContentBits">
    <vt:lpwstr>1</vt:lpwstr>
  </property>
  <property fmtid="{D5CDD505-2E9C-101B-9397-08002B2CF9AE}" pid="25" name="ContentTypeId">
    <vt:lpwstr>0x01010029D9D4FCBE61CF478E2D7AD18532284C</vt:lpwstr>
  </property>
  <property fmtid="{D5CDD505-2E9C-101B-9397-08002B2CF9AE}" pid="26" name="MediaServiceImageTags">
    <vt:lpwstr/>
  </property>
  <property fmtid="{D5CDD505-2E9C-101B-9397-08002B2CF9AE}" pid="27" name="_dlc_DocIdItemGuid">
    <vt:lpwstr>26980d94-c8ae-4c93-9ea9-0b56b3c61d83</vt:lpwstr>
  </property>
</Properties>
</file>