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1519" w14:textId="77777777" w:rsidR="00836D85" w:rsidRPr="0051434B" w:rsidRDefault="00836D85" w:rsidP="00CE214F">
      <w:bookmarkStart w:id="0" w:name="_Hlk171077643"/>
      <w:bookmarkEnd w:id="0"/>
    </w:p>
    <w:p w14:paraId="7D588038" w14:textId="2D1EB60D" w:rsidR="684E0057" w:rsidRDefault="684E0057" w:rsidP="00CE214F"/>
    <w:p w14:paraId="228CA18D" w14:textId="77777777" w:rsidR="0096755E" w:rsidRDefault="0096755E" w:rsidP="00BB6896">
      <w:pPr>
        <w:pStyle w:val="Title1"/>
        <w:rPr>
          <w:rFonts w:eastAsia="Arial"/>
        </w:rPr>
      </w:pPr>
    </w:p>
    <w:p w14:paraId="0FD79EB1" w14:textId="77777777" w:rsidR="0096755E" w:rsidRDefault="0096755E" w:rsidP="00BB6896">
      <w:pPr>
        <w:pStyle w:val="Title1"/>
        <w:rPr>
          <w:rFonts w:eastAsia="Arial"/>
        </w:rPr>
      </w:pPr>
    </w:p>
    <w:p w14:paraId="29E9B15A" w14:textId="39B43F20" w:rsidR="0005623F" w:rsidRDefault="0005623F" w:rsidP="0005623F">
      <w:pPr>
        <w:pStyle w:val="Title1"/>
        <w:rPr>
          <w:rFonts w:eastAsia="Arial"/>
        </w:rPr>
      </w:pPr>
      <w:bookmarkStart w:id="1" w:name="_Hlk100210014"/>
      <w:r>
        <w:rPr>
          <w:rFonts w:eastAsia="Arial"/>
        </w:rPr>
        <w:t>Site Characterisation Delivery Partner</w:t>
      </w:r>
    </w:p>
    <w:p w14:paraId="72641F83" w14:textId="77777777" w:rsidR="0005623F" w:rsidRDefault="0005623F" w:rsidP="0005623F">
      <w:pPr>
        <w:pStyle w:val="Title1"/>
        <w:rPr>
          <w:rFonts w:eastAsia="Arial"/>
        </w:rPr>
      </w:pPr>
    </w:p>
    <w:p w14:paraId="589C3A03" w14:textId="77777777" w:rsidR="009970C3" w:rsidRDefault="009970C3" w:rsidP="0005623F">
      <w:pPr>
        <w:pStyle w:val="Title1"/>
        <w:rPr>
          <w:rFonts w:eastAsia="Arial"/>
        </w:rPr>
      </w:pPr>
    </w:p>
    <w:bookmarkEnd w:id="1"/>
    <w:p w14:paraId="52BBBA8F" w14:textId="1FA9CFE7" w:rsidR="00A0258B" w:rsidRDefault="00090B8A" w:rsidP="00BB6896">
      <w:pPr>
        <w:pStyle w:val="Title1"/>
        <w:rPr>
          <w:rFonts w:eastAsia="Arial"/>
        </w:rPr>
      </w:pPr>
      <w:r w:rsidRPr="00090B8A">
        <w:rPr>
          <w:rFonts w:eastAsia="Arial"/>
        </w:rPr>
        <w:t>SCDP PA23 Pre-Market Engagement Summary</w:t>
      </w:r>
    </w:p>
    <w:p w14:paraId="411A193F" w14:textId="77777777" w:rsidR="009970C3" w:rsidRPr="0096755E" w:rsidRDefault="009970C3" w:rsidP="00BB6896">
      <w:pPr>
        <w:pStyle w:val="Title1"/>
        <w:rPr>
          <w:rFonts w:eastAsia="Arial"/>
        </w:rPr>
      </w:pPr>
    </w:p>
    <w:p w14:paraId="626B62DB" w14:textId="77777777" w:rsidR="00A0258B" w:rsidRPr="0096755E" w:rsidRDefault="00A0258B" w:rsidP="00BB6896">
      <w:pPr>
        <w:pStyle w:val="Title1"/>
        <w:rPr>
          <w:rFonts w:eastAsia="Arial"/>
        </w:rPr>
      </w:pPr>
    </w:p>
    <w:p w14:paraId="2E070E51" w14:textId="5A906313" w:rsidR="00832D12" w:rsidRPr="00BB6896" w:rsidRDefault="00B9318D" w:rsidP="00BB6896">
      <w:pPr>
        <w:pStyle w:val="Title1"/>
        <w:rPr>
          <w:rFonts w:eastAsia="Arial"/>
        </w:rPr>
      </w:pPr>
      <w:r w:rsidRPr="00B9318D">
        <w:rPr>
          <w:rFonts w:eastAsia="Arial"/>
        </w:rPr>
        <w:t>C23206</w:t>
      </w:r>
    </w:p>
    <w:p w14:paraId="270BAB32" w14:textId="76B58C90" w:rsidR="00D965AD" w:rsidRPr="00B03999" w:rsidRDefault="00B03999" w:rsidP="00CD5021">
      <w:pPr>
        <w:pStyle w:val="Title1"/>
        <w:rPr>
          <w:rFonts w:eastAsia="Arial"/>
          <w:sz w:val="52"/>
          <w:szCs w:val="18"/>
        </w:rPr>
      </w:pPr>
      <w:r w:rsidRPr="00B03999">
        <w:rPr>
          <w:rFonts w:eastAsia="Arial"/>
          <w:sz w:val="52"/>
          <w:szCs w:val="18"/>
        </w:rPr>
        <w:t>GDF-NWS-SCDP-AXX-CC-CS-0000</w:t>
      </w:r>
      <w:r w:rsidR="00090B8A">
        <w:rPr>
          <w:rFonts w:eastAsia="Arial"/>
          <w:sz w:val="52"/>
          <w:szCs w:val="18"/>
        </w:rPr>
        <w:t>32</w:t>
      </w:r>
    </w:p>
    <w:p w14:paraId="607CED6E" w14:textId="77777777" w:rsidR="00D965AD" w:rsidRDefault="00D965AD" w:rsidP="00BB6896">
      <w:pPr>
        <w:pStyle w:val="Title1"/>
      </w:pPr>
    </w:p>
    <w:p w14:paraId="212D40F2" w14:textId="4CBC6445" w:rsidR="00B03999" w:rsidRPr="0096755E" w:rsidRDefault="00B03999" w:rsidP="00BB6896">
      <w:pPr>
        <w:pStyle w:val="Title1"/>
        <w:sectPr w:rsidR="00B03999" w:rsidRPr="0096755E" w:rsidSect="004B48E0">
          <w:headerReference w:type="even" r:id="rId12"/>
          <w:headerReference w:type="default" r:id="rId13"/>
          <w:footerReference w:type="default" r:id="rId14"/>
          <w:headerReference w:type="first" r:id="rId15"/>
          <w:footerReference w:type="first" r:id="rId16"/>
          <w:pgSz w:w="11907" w:h="16840" w:code="9"/>
          <w:pgMar w:top="1985" w:right="1259" w:bottom="244" w:left="1077" w:header="539" w:footer="782" w:gutter="0"/>
          <w:cols w:space="720"/>
          <w:titlePg/>
          <w:docGrid w:linePitch="360"/>
        </w:sectPr>
      </w:pPr>
    </w:p>
    <w:p w14:paraId="154F8843" w14:textId="77777777" w:rsidR="000B6A1A" w:rsidRDefault="000B6A1A" w:rsidP="007C5C22">
      <w:pPr>
        <w:spacing w:before="0"/>
      </w:pPr>
    </w:p>
    <w:p w14:paraId="413C07B9" w14:textId="77777777" w:rsidR="000B6A1A" w:rsidRDefault="000B6A1A" w:rsidP="007C5C22">
      <w:pPr>
        <w:spacing w:before="0"/>
      </w:pPr>
    </w:p>
    <w:p w14:paraId="3F43F70B" w14:textId="77777777" w:rsidR="000B6A1A" w:rsidRDefault="000B6A1A" w:rsidP="007C5C22">
      <w:pPr>
        <w:spacing w:before="0"/>
      </w:pPr>
    </w:p>
    <w:p w14:paraId="37BE2407" w14:textId="77777777" w:rsidR="000B6A1A" w:rsidRDefault="000B6A1A" w:rsidP="007C5C22">
      <w:pPr>
        <w:spacing w:before="0"/>
      </w:pPr>
    </w:p>
    <w:p w14:paraId="00E52ADF" w14:textId="77777777" w:rsidR="000B6A1A" w:rsidRDefault="000B6A1A" w:rsidP="007C5C22">
      <w:pPr>
        <w:spacing w:before="0"/>
      </w:pPr>
    </w:p>
    <w:p w14:paraId="0D4D0CB3" w14:textId="77777777" w:rsidR="000B6A1A" w:rsidRDefault="000B6A1A" w:rsidP="007C5C22">
      <w:pPr>
        <w:spacing w:before="0"/>
      </w:pPr>
    </w:p>
    <w:p w14:paraId="1D8C429B" w14:textId="77777777" w:rsidR="000B6A1A" w:rsidRDefault="000B6A1A" w:rsidP="007C5C22">
      <w:pPr>
        <w:spacing w:before="0"/>
      </w:pPr>
    </w:p>
    <w:p w14:paraId="4E506CE0" w14:textId="77777777" w:rsidR="000B6A1A" w:rsidRDefault="000B6A1A" w:rsidP="007C5C22">
      <w:pPr>
        <w:spacing w:before="0"/>
      </w:pPr>
    </w:p>
    <w:p w14:paraId="504A33ED" w14:textId="77777777" w:rsidR="000B6A1A" w:rsidRDefault="000B6A1A" w:rsidP="007C5C22">
      <w:pPr>
        <w:spacing w:before="0"/>
      </w:pPr>
    </w:p>
    <w:p w14:paraId="0ACF81F7" w14:textId="77777777" w:rsidR="000B6A1A" w:rsidRDefault="000B6A1A" w:rsidP="007C5C22">
      <w:pPr>
        <w:spacing w:before="0"/>
      </w:pPr>
    </w:p>
    <w:p w14:paraId="496C5E76" w14:textId="77777777" w:rsidR="000B6A1A" w:rsidRDefault="000B6A1A" w:rsidP="007C5C22">
      <w:pPr>
        <w:spacing w:before="0"/>
      </w:pPr>
    </w:p>
    <w:p w14:paraId="4A0483BB" w14:textId="77777777" w:rsidR="000B6A1A" w:rsidRDefault="000B6A1A" w:rsidP="007C5C22">
      <w:pPr>
        <w:spacing w:before="0"/>
      </w:pPr>
    </w:p>
    <w:p w14:paraId="3B538519" w14:textId="77777777" w:rsidR="000B6A1A" w:rsidRDefault="000B6A1A" w:rsidP="007C5C22">
      <w:pPr>
        <w:spacing w:before="0"/>
      </w:pPr>
    </w:p>
    <w:p w14:paraId="6140C0BF" w14:textId="77777777" w:rsidR="000B6A1A" w:rsidRDefault="000B6A1A" w:rsidP="007C5C22">
      <w:pPr>
        <w:spacing w:before="0"/>
      </w:pPr>
    </w:p>
    <w:p w14:paraId="0E7ECC09" w14:textId="77777777" w:rsidR="000B6A1A" w:rsidRDefault="000B6A1A" w:rsidP="007C5C22">
      <w:pPr>
        <w:spacing w:before="0"/>
      </w:pPr>
    </w:p>
    <w:p w14:paraId="355E8E45" w14:textId="77777777" w:rsidR="000B6A1A" w:rsidRDefault="000B6A1A" w:rsidP="007C5C22">
      <w:pPr>
        <w:spacing w:before="0"/>
      </w:pPr>
    </w:p>
    <w:p w14:paraId="098ADE15" w14:textId="77777777" w:rsidR="000B6A1A" w:rsidRDefault="000B6A1A" w:rsidP="007C5C22">
      <w:pPr>
        <w:spacing w:before="0"/>
      </w:pPr>
    </w:p>
    <w:p w14:paraId="6E2B152C" w14:textId="77777777" w:rsidR="000B6A1A" w:rsidRDefault="000B6A1A" w:rsidP="007C5C22">
      <w:pPr>
        <w:spacing w:before="0"/>
      </w:pPr>
    </w:p>
    <w:p w14:paraId="4E59AEC2" w14:textId="77777777" w:rsidR="000B6A1A" w:rsidRDefault="000B6A1A" w:rsidP="007C5C22">
      <w:pPr>
        <w:spacing w:before="0"/>
      </w:pPr>
    </w:p>
    <w:p w14:paraId="1E8434A6" w14:textId="05D81992" w:rsidR="00DE2448" w:rsidRDefault="000B6A1A" w:rsidP="000B6A1A">
      <w:pPr>
        <w:spacing w:before="0"/>
        <w:jc w:val="center"/>
      </w:pPr>
      <w:r>
        <w:t>PAGE INTENTIONALLY BLANK</w:t>
      </w:r>
      <w:r w:rsidR="00DE2448" w:rsidRPr="00BE5982">
        <w:br w:type="page"/>
      </w:r>
    </w:p>
    <w:p w14:paraId="3AB87695" w14:textId="77777777" w:rsidR="000B6A1A" w:rsidRPr="00BE5982" w:rsidRDefault="000B6A1A" w:rsidP="007C5C22">
      <w:pPr>
        <w:spacing w:before="0"/>
      </w:pPr>
    </w:p>
    <w:p w14:paraId="50E480C5" w14:textId="77777777" w:rsidR="00861618" w:rsidRPr="00BE5982" w:rsidRDefault="007A06CD" w:rsidP="00CE214F">
      <w:r w:rsidRPr="00BE5982">
        <w:t>Document Control</w:t>
      </w:r>
    </w:p>
    <w:p w14:paraId="692CF5CF" w14:textId="77777777" w:rsidR="00407BD2" w:rsidRPr="00BE5982" w:rsidRDefault="00407BD2" w:rsidP="00407BD2">
      <w:pPr>
        <w:spacing w:before="0"/>
      </w:pPr>
    </w:p>
    <w:tbl>
      <w:tblPr>
        <w:tblStyle w:val="Style2"/>
        <w:tblW w:w="0" w:type="auto"/>
        <w:tblLook w:val="04A0" w:firstRow="1" w:lastRow="0" w:firstColumn="1" w:lastColumn="0" w:noHBand="0" w:noVBand="1"/>
      </w:tblPr>
      <w:tblGrid>
        <w:gridCol w:w="2391"/>
        <w:gridCol w:w="2390"/>
        <w:gridCol w:w="2390"/>
        <w:gridCol w:w="2390"/>
      </w:tblGrid>
      <w:tr w:rsidR="00115702" w:rsidRPr="00BE5982" w14:paraId="00174D51" w14:textId="77777777" w:rsidTr="00115702">
        <w:trPr>
          <w:cnfStyle w:val="100000000000" w:firstRow="1" w:lastRow="0" w:firstColumn="0" w:lastColumn="0" w:oddVBand="0" w:evenVBand="0" w:oddHBand="0" w:evenHBand="0" w:firstRowFirstColumn="0" w:firstRowLastColumn="0" w:lastRowFirstColumn="0" w:lastRowLastColumn="0"/>
        </w:trPr>
        <w:tc>
          <w:tcPr>
            <w:tcW w:w="2391" w:type="dxa"/>
          </w:tcPr>
          <w:p w14:paraId="7CDEE3C8" w14:textId="605B0834" w:rsidR="00115702" w:rsidRPr="00BE5982" w:rsidRDefault="00115702" w:rsidP="00115702">
            <w:pPr>
              <w:spacing w:before="0"/>
            </w:pPr>
            <w:r w:rsidRPr="000B2192">
              <w:t xml:space="preserve">Name </w:t>
            </w:r>
          </w:p>
        </w:tc>
        <w:tc>
          <w:tcPr>
            <w:tcW w:w="2390" w:type="dxa"/>
          </w:tcPr>
          <w:p w14:paraId="0DD56AD7" w14:textId="1F56A2E9" w:rsidR="00115702" w:rsidRPr="00BE5982" w:rsidRDefault="00115702" w:rsidP="00115702">
            <w:pPr>
              <w:spacing w:before="0"/>
            </w:pPr>
            <w:r w:rsidRPr="000B2192">
              <w:t>Role</w:t>
            </w:r>
          </w:p>
        </w:tc>
        <w:tc>
          <w:tcPr>
            <w:tcW w:w="2390" w:type="dxa"/>
          </w:tcPr>
          <w:p w14:paraId="4F708542" w14:textId="59B48D53" w:rsidR="00115702" w:rsidRPr="00BE5982" w:rsidRDefault="00115702" w:rsidP="00115702">
            <w:pPr>
              <w:spacing w:before="0"/>
            </w:pPr>
            <w:r w:rsidRPr="000B2192">
              <w:t>Signature</w:t>
            </w:r>
          </w:p>
        </w:tc>
        <w:tc>
          <w:tcPr>
            <w:tcW w:w="2390" w:type="dxa"/>
          </w:tcPr>
          <w:p w14:paraId="2AB515EF" w14:textId="7E9E8A55" w:rsidR="00115702" w:rsidRPr="00BE5982" w:rsidRDefault="00115702" w:rsidP="00115702">
            <w:pPr>
              <w:spacing w:before="0"/>
            </w:pPr>
            <w:r w:rsidRPr="000B2192">
              <w:t>Date</w:t>
            </w:r>
          </w:p>
        </w:tc>
      </w:tr>
      <w:tr w:rsidR="00187F88" w:rsidRPr="00BE5982" w14:paraId="6073C3EF" w14:textId="77777777" w:rsidTr="00115702">
        <w:tc>
          <w:tcPr>
            <w:tcW w:w="2391" w:type="dxa"/>
            <w:vAlign w:val="center"/>
          </w:tcPr>
          <w:p w14:paraId="66B80211" w14:textId="77777777" w:rsidR="00187F88" w:rsidRDefault="00187F88" w:rsidP="00187F88">
            <w:pPr>
              <w:pStyle w:val="TableText1"/>
            </w:pPr>
            <w:r w:rsidRPr="00075756">
              <w:t>Reviewer</w:t>
            </w:r>
            <w:r>
              <w:t>:</w:t>
            </w:r>
          </w:p>
          <w:p w14:paraId="18FDC796" w14:textId="3C343B4A" w:rsidR="00187F88" w:rsidRPr="00075756" w:rsidRDefault="00187F88" w:rsidP="00187F88">
            <w:pPr>
              <w:pStyle w:val="TableText1"/>
            </w:pPr>
            <w:r w:rsidRPr="00990EFC">
              <w:t>Andrew Batstone</w:t>
            </w:r>
          </w:p>
        </w:tc>
        <w:tc>
          <w:tcPr>
            <w:tcW w:w="2390" w:type="dxa"/>
            <w:vAlign w:val="center"/>
          </w:tcPr>
          <w:p w14:paraId="5ADE90F2" w14:textId="3AD35C0D" w:rsidR="00187F88" w:rsidRPr="00075756" w:rsidRDefault="00187F88" w:rsidP="00187F88">
            <w:pPr>
              <w:pStyle w:val="TableText1"/>
            </w:pPr>
            <w:r w:rsidRPr="00FC73C4">
              <w:t>Commercial Strategy Lead</w:t>
            </w:r>
          </w:p>
        </w:tc>
        <w:tc>
          <w:tcPr>
            <w:tcW w:w="2390" w:type="dxa"/>
            <w:vAlign w:val="center"/>
          </w:tcPr>
          <w:p w14:paraId="276B780A" w14:textId="7687A6D2" w:rsidR="00187F88" w:rsidRPr="00075756" w:rsidRDefault="00600C7C" w:rsidP="00CA75A2">
            <w:pPr>
              <w:pStyle w:val="TableText1"/>
              <w:jc w:val="center"/>
            </w:pPr>
            <w:r>
              <w:rPr>
                <w:noProof/>
              </w:rPr>
              <w:drawing>
                <wp:inline distT="0" distB="0" distL="0" distR="0" wp14:anchorId="4E32EDE3" wp14:editId="31622BE8">
                  <wp:extent cx="804672" cy="526415"/>
                  <wp:effectExtent l="0" t="0" r="0" b="6985"/>
                  <wp:docPr id="1222313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1" t="13336" r="5004" b="12786"/>
                          <a:stretch/>
                        </pic:blipFill>
                        <pic:spPr bwMode="auto">
                          <a:xfrm>
                            <a:off x="0" y="0"/>
                            <a:ext cx="805299" cy="5268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90" w:type="dxa"/>
            <w:vAlign w:val="center"/>
          </w:tcPr>
          <w:p w14:paraId="60E8DD04" w14:textId="44F8F5C7" w:rsidR="00187F88" w:rsidRPr="00075756" w:rsidRDefault="00600C7C" w:rsidP="00187F88">
            <w:pPr>
              <w:pStyle w:val="TableText1"/>
            </w:pPr>
            <w:r>
              <w:t>07/07/2025</w:t>
            </w:r>
          </w:p>
        </w:tc>
      </w:tr>
      <w:tr w:rsidR="00A71E16" w:rsidRPr="00BE5982" w14:paraId="058102E6" w14:textId="77777777" w:rsidTr="00115702">
        <w:tc>
          <w:tcPr>
            <w:tcW w:w="2391" w:type="dxa"/>
            <w:vAlign w:val="center"/>
          </w:tcPr>
          <w:p w14:paraId="021B4B43" w14:textId="77777777" w:rsidR="00A71E16" w:rsidRDefault="00A71E16" w:rsidP="00A71E16">
            <w:pPr>
              <w:pStyle w:val="TableText1"/>
            </w:pPr>
            <w:r w:rsidRPr="00075756">
              <w:t>Reviewer</w:t>
            </w:r>
            <w:r>
              <w:t>:</w:t>
            </w:r>
          </w:p>
          <w:p w14:paraId="54308DBA" w14:textId="6745E1E2" w:rsidR="00A71E16" w:rsidRPr="00075756" w:rsidRDefault="00951833" w:rsidP="00A71E16">
            <w:pPr>
              <w:pStyle w:val="TableText1"/>
            </w:pPr>
            <w:r>
              <w:t>Owen David</w:t>
            </w:r>
          </w:p>
        </w:tc>
        <w:tc>
          <w:tcPr>
            <w:tcW w:w="2390" w:type="dxa"/>
            <w:vAlign w:val="center"/>
          </w:tcPr>
          <w:p w14:paraId="65B9F39B" w14:textId="0931EC33" w:rsidR="00A71E16" w:rsidRPr="00075756" w:rsidRDefault="00951833" w:rsidP="00A71E16">
            <w:pPr>
              <w:pStyle w:val="TableText1"/>
            </w:pPr>
            <w:r w:rsidRPr="009E2920">
              <w:t>Senior Project Manager</w:t>
            </w:r>
          </w:p>
        </w:tc>
        <w:tc>
          <w:tcPr>
            <w:tcW w:w="2390" w:type="dxa"/>
            <w:vAlign w:val="center"/>
          </w:tcPr>
          <w:p w14:paraId="29C375C0" w14:textId="5B3F162D" w:rsidR="00A71E16" w:rsidRPr="00075756" w:rsidRDefault="00A71E16" w:rsidP="00A71E16">
            <w:pPr>
              <w:pStyle w:val="TableText1"/>
            </w:pPr>
          </w:p>
        </w:tc>
        <w:tc>
          <w:tcPr>
            <w:tcW w:w="2390" w:type="dxa"/>
            <w:vAlign w:val="center"/>
          </w:tcPr>
          <w:p w14:paraId="4A890491" w14:textId="630B0A33" w:rsidR="00A71E16" w:rsidRPr="00075756" w:rsidRDefault="00A71E16" w:rsidP="00A71E16">
            <w:pPr>
              <w:pStyle w:val="TableText1"/>
            </w:pPr>
          </w:p>
        </w:tc>
      </w:tr>
      <w:tr w:rsidR="00A71E16" w:rsidRPr="00BE5982" w14:paraId="4FD42D39" w14:textId="77777777" w:rsidTr="00115702">
        <w:tc>
          <w:tcPr>
            <w:tcW w:w="2391" w:type="dxa"/>
            <w:vAlign w:val="center"/>
          </w:tcPr>
          <w:p w14:paraId="1F44254F" w14:textId="77777777" w:rsidR="00A71E16" w:rsidRDefault="00A71E16" w:rsidP="00A71E16">
            <w:pPr>
              <w:pStyle w:val="TableText1"/>
            </w:pPr>
            <w:r w:rsidRPr="00075756">
              <w:t>Approval</w:t>
            </w:r>
            <w:r>
              <w:t>:</w:t>
            </w:r>
          </w:p>
          <w:p w14:paraId="4158EB53" w14:textId="32D91A60" w:rsidR="00A71E16" w:rsidRPr="00075756" w:rsidRDefault="00A71E16" w:rsidP="00A71E16">
            <w:pPr>
              <w:pStyle w:val="TableText1"/>
            </w:pPr>
            <w:r>
              <w:t>TBD</w:t>
            </w:r>
          </w:p>
        </w:tc>
        <w:tc>
          <w:tcPr>
            <w:tcW w:w="2390" w:type="dxa"/>
            <w:vAlign w:val="center"/>
          </w:tcPr>
          <w:p w14:paraId="0B48AAB8" w14:textId="1236F1E3" w:rsidR="00A71E16" w:rsidRPr="00075756" w:rsidRDefault="00A71E16" w:rsidP="00A71E16">
            <w:pPr>
              <w:pStyle w:val="TableText1"/>
            </w:pPr>
            <w:r>
              <w:t>GDF Programme Manager - Enabling</w:t>
            </w:r>
            <w:r w:rsidRPr="00075756">
              <w:t xml:space="preserve"> </w:t>
            </w:r>
          </w:p>
        </w:tc>
        <w:tc>
          <w:tcPr>
            <w:tcW w:w="2390" w:type="dxa"/>
            <w:vAlign w:val="center"/>
          </w:tcPr>
          <w:p w14:paraId="7DCA06F8" w14:textId="5C3A9280" w:rsidR="00A71E16" w:rsidRPr="00075756" w:rsidRDefault="00A71E16" w:rsidP="00A71E16">
            <w:pPr>
              <w:pStyle w:val="TableText1"/>
            </w:pPr>
          </w:p>
        </w:tc>
        <w:tc>
          <w:tcPr>
            <w:tcW w:w="2390" w:type="dxa"/>
            <w:vAlign w:val="center"/>
          </w:tcPr>
          <w:p w14:paraId="4A7A45CA" w14:textId="7791FFBE" w:rsidR="00A71E16" w:rsidRPr="00075756" w:rsidRDefault="00A71E16" w:rsidP="00A71E16">
            <w:pPr>
              <w:pStyle w:val="TableText1"/>
            </w:pPr>
          </w:p>
        </w:tc>
      </w:tr>
    </w:tbl>
    <w:p w14:paraId="19D7D18E" w14:textId="77777777" w:rsidR="007A06CD" w:rsidRPr="00627340" w:rsidRDefault="007A06CD" w:rsidP="00E016AA">
      <w:pPr>
        <w:pStyle w:val="TableText1"/>
      </w:pPr>
    </w:p>
    <w:p w14:paraId="078EF301" w14:textId="77777777" w:rsidR="007A06CD" w:rsidRPr="00BE5982" w:rsidRDefault="007A06CD" w:rsidP="00CE214F">
      <w:r w:rsidRPr="00BE5982">
        <w:t>Version Control</w:t>
      </w:r>
    </w:p>
    <w:p w14:paraId="120D2C9B" w14:textId="77777777" w:rsidR="00407BD2" w:rsidRPr="00627340" w:rsidRDefault="00407BD2" w:rsidP="00627340"/>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402"/>
        <w:gridCol w:w="2387"/>
        <w:gridCol w:w="2393"/>
      </w:tblGrid>
      <w:tr w:rsidR="007A06CD" w:rsidRPr="00BE5982" w14:paraId="077A485D" w14:textId="77777777" w:rsidTr="005707D8">
        <w:tc>
          <w:tcPr>
            <w:tcW w:w="2379" w:type="dxa"/>
            <w:shd w:val="clear" w:color="auto" w:fill="003B3A"/>
          </w:tcPr>
          <w:p w14:paraId="1E74F57A" w14:textId="77777777" w:rsidR="007A06CD" w:rsidRPr="00BE5982" w:rsidRDefault="007A06CD" w:rsidP="00407BD2">
            <w:pPr>
              <w:spacing w:before="0"/>
            </w:pPr>
            <w:r w:rsidRPr="00BE5982">
              <w:t>Version</w:t>
            </w:r>
          </w:p>
        </w:tc>
        <w:tc>
          <w:tcPr>
            <w:tcW w:w="2402" w:type="dxa"/>
            <w:shd w:val="clear" w:color="auto" w:fill="003B3A"/>
          </w:tcPr>
          <w:p w14:paraId="07FA0185" w14:textId="77777777" w:rsidR="007A06CD" w:rsidRPr="00BE5982" w:rsidRDefault="007A06CD" w:rsidP="00407BD2">
            <w:pPr>
              <w:spacing w:before="0"/>
            </w:pPr>
            <w:r w:rsidRPr="00BE5982">
              <w:t>Amendment</w:t>
            </w:r>
          </w:p>
        </w:tc>
        <w:tc>
          <w:tcPr>
            <w:tcW w:w="2387" w:type="dxa"/>
            <w:shd w:val="clear" w:color="auto" w:fill="003B3A"/>
          </w:tcPr>
          <w:p w14:paraId="1D1907A3" w14:textId="77777777" w:rsidR="007A06CD" w:rsidRPr="00BE5982" w:rsidRDefault="007A06CD" w:rsidP="00407BD2">
            <w:pPr>
              <w:spacing w:before="0"/>
            </w:pPr>
            <w:r w:rsidRPr="00BE5982">
              <w:t>Approval</w:t>
            </w:r>
          </w:p>
        </w:tc>
        <w:tc>
          <w:tcPr>
            <w:tcW w:w="2393" w:type="dxa"/>
            <w:shd w:val="clear" w:color="auto" w:fill="003B3A"/>
          </w:tcPr>
          <w:p w14:paraId="6446B428" w14:textId="77777777" w:rsidR="007A06CD" w:rsidRPr="00BE5982" w:rsidRDefault="007A06CD" w:rsidP="00407BD2">
            <w:pPr>
              <w:spacing w:before="0"/>
            </w:pPr>
            <w:r w:rsidRPr="00BE5982">
              <w:t>Date</w:t>
            </w:r>
          </w:p>
        </w:tc>
      </w:tr>
      <w:tr w:rsidR="007A06CD" w:rsidRPr="00BE5982" w14:paraId="639DD7E0" w14:textId="77777777" w:rsidTr="00370BA0">
        <w:tc>
          <w:tcPr>
            <w:tcW w:w="2379" w:type="dxa"/>
            <w:vAlign w:val="center"/>
          </w:tcPr>
          <w:p w14:paraId="7936C57D" w14:textId="42676C08" w:rsidR="007A06CD" w:rsidRPr="009719FF" w:rsidRDefault="005707D8" w:rsidP="008839DF">
            <w:pPr>
              <w:rPr>
                <w:b/>
              </w:rPr>
            </w:pPr>
            <w:r>
              <w:t>0</w:t>
            </w:r>
            <w:r w:rsidR="005E7528">
              <w:t>1</w:t>
            </w:r>
            <w:r w:rsidR="00917B37">
              <w:t xml:space="preserve"> – Draft</w:t>
            </w:r>
          </w:p>
        </w:tc>
        <w:tc>
          <w:tcPr>
            <w:tcW w:w="2402" w:type="dxa"/>
            <w:vAlign w:val="center"/>
          </w:tcPr>
          <w:p w14:paraId="454344F8" w14:textId="1449B81A" w:rsidR="007A06CD" w:rsidRPr="009719FF" w:rsidRDefault="007A06CD" w:rsidP="008839DF"/>
        </w:tc>
        <w:tc>
          <w:tcPr>
            <w:tcW w:w="2387" w:type="dxa"/>
            <w:vAlign w:val="center"/>
          </w:tcPr>
          <w:p w14:paraId="40B9C1F9" w14:textId="14A836C4" w:rsidR="007A06CD" w:rsidRPr="009719FF" w:rsidRDefault="007A06CD" w:rsidP="008839DF"/>
        </w:tc>
        <w:tc>
          <w:tcPr>
            <w:tcW w:w="2393" w:type="dxa"/>
            <w:vAlign w:val="center"/>
          </w:tcPr>
          <w:p w14:paraId="31534C2B" w14:textId="2F1F8EEE" w:rsidR="007A06CD" w:rsidRPr="009719FF" w:rsidRDefault="007A06CD" w:rsidP="008839DF"/>
        </w:tc>
      </w:tr>
      <w:tr w:rsidR="00793905" w:rsidRPr="00BE5982" w14:paraId="01A388B6" w14:textId="77777777" w:rsidTr="00370BA0">
        <w:tc>
          <w:tcPr>
            <w:tcW w:w="2379" w:type="dxa"/>
            <w:vAlign w:val="center"/>
          </w:tcPr>
          <w:p w14:paraId="396F8671" w14:textId="37B52D98" w:rsidR="00793905" w:rsidRPr="00610451" w:rsidRDefault="005707D8" w:rsidP="008839DF">
            <w:r w:rsidRPr="00610451">
              <w:t>02</w:t>
            </w:r>
          </w:p>
        </w:tc>
        <w:tc>
          <w:tcPr>
            <w:tcW w:w="2402" w:type="dxa"/>
            <w:vAlign w:val="center"/>
          </w:tcPr>
          <w:p w14:paraId="06855D45" w14:textId="312D1A1E" w:rsidR="00793905" w:rsidRPr="009719FF" w:rsidRDefault="00793905" w:rsidP="008839DF"/>
        </w:tc>
        <w:tc>
          <w:tcPr>
            <w:tcW w:w="2387" w:type="dxa"/>
            <w:vAlign w:val="center"/>
          </w:tcPr>
          <w:p w14:paraId="4557C6BB" w14:textId="44815881" w:rsidR="00793905" w:rsidRPr="009719FF" w:rsidRDefault="00793905" w:rsidP="008839DF"/>
        </w:tc>
        <w:tc>
          <w:tcPr>
            <w:tcW w:w="2393" w:type="dxa"/>
            <w:vAlign w:val="center"/>
          </w:tcPr>
          <w:p w14:paraId="536FC348" w14:textId="75A2ED96" w:rsidR="00793905" w:rsidRPr="009719FF" w:rsidRDefault="00793905" w:rsidP="008839DF"/>
        </w:tc>
      </w:tr>
      <w:tr w:rsidR="00793905" w:rsidRPr="00BE5982" w14:paraId="5FCF9E1E" w14:textId="77777777" w:rsidTr="00370BA0">
        <w:tc>
          <w:tcPr>
            <w:tcW w:w="2379" w:type="dxa"/>
            <w:vAlign w:val="center"/>
          </w:tcPr>
          <w:p w14:paraId="79C062A4" w14:textId="27B5FDA9" w:rsidR="00793905" w:rsidRPr="00610451" w:rsidRDefault="005707D8" w:rsidP="008839DF">
            <w:r w:rsidRPr="00610451">
              <w:t>03</w:t>
            </w:r>
          </w:p>
        </w:tc>
        <w:tc>
          <w:tcPr>
            <w:tcW w:w="2402" w:type="dxa"/>
            <w:vAlign w:val="center"/>
          </w:tcPr>
          <w:p w14:paraId="64951414" w14:textId="738F57B8" w:rsidR="00793905" w:rsidRPr="009719FF" w:rsidRDefault="00793905" w:rsidP="008839DF"/>
        </w:tc>
        <w:tc>
          <w:tcPr>
            <w:tcW w:w="2387" w:type="dxa"/>
            <w:vAlign w:val="center"/>
          </w:tcPr>
          <w:p w14:paraId="46303B3A" w14:textId="424BDDF8" w:rsidR="00793905" w:rsidRPr="009719FF" w:rsidRDefault="00793905" w:rsidP="008839DF"/>
        </w:tc>
        <w:tc>
          <w:tcPr>
            <w:tcW w:w="2393" w:type="dxa"/>
            <w:vAlign w:val="center"/>
          </w:tcPr>
          <w:p w14:paraId="435CF27E" w14:textId="77CA509D" w:rsidR="00793905" w:rsidRPr="009719FF" w:rsidRDefault="00793905" w:rsidP="008839DF"/>
        </w:tc>
      </w:tr>
      <w:tr w:rsidR="00075756" w:rsidRPr="00BE5982" w14:paraId="063673A2" w14:textId="77777777" w:rsidTr="00370BA0">
        <w:tc>
          <w:tcPr>
            <w:tcW w:w="2379" w:type="dxa"/>
            <w:vAlign w:val="center"/>
          </w:tcPr>
          <w:p w14:paraId="3D65BFBF" w14:textId="11C8BB8B" w:rsidR="00075756" w:rsidRPr="009719FF" w:rsidRDefault="00993138" w:rsidP="008839DF">
            <w:pPr>
              <w:rPr>
                <w:b/>
              </w:rPr>
            </w:pPr>
            <w:r w:rsidRPr="009719FF">
              <w:t>04</w:t>
            </w:r>
          </w:p>
        </w:tc>
        <w:tc>
          <w:tcPr>
            <w:tcW w:w="2402" w:type="dxa"/>
            <w:vAlign w:val="center"/>
          </w:tcPr>
          <w:p w14:paraId="0379E033" w14:textId="23DDAD71" w:rsidR="00075756" w:rsidRPr="009719FF" w:rsidRDefault="00075756" w:rsidP="008839DF"/>
        </w:tc>
        <w:tc>
          <w:tcPr>
            <w:tcW w:w="2387" w:type="dxa"/>
            <w:vAlign w:val="center"/>
          </w:tcPr>
          <w:p w14:paraId="759AC7E3" w14:textId="5B88A2E2" w:rsidR="00075756" w:rsidRPr="009719FF" w:rsidRDefault="00075756" w:rsidP="008839DF"/>
        </w:tc>
        <w:tc>
          <w:tcPr>
            <w:tcW w:w="2393" w:type="dxa"/>
            <w:vAlign w:val="center"/>
          </w:tcPr>
          <w:p w14:paraId="4DF3349E" w14:textId="38ACE2E1" w:rsidR="00075756" w:rsidRPr="009719FF" w:rsidRDefault="00075756" w:rsidP="008839DF"/>
        </w:tc>
      </w:tr>
      <w:tr w:rsidR="00075756" w:rsidRPr="00BE5982" w14:paraId="0FF7B7E4" w14:textId="77777777" w:rsidTr="00370BA0">
        <w:tc>
          <w:tcPr>
            <w:tcW w:w="2379" w:type="dxa"/>
            <w:vAlign w:val="center"/>
          </w:tcPr>
          <w:p w14:paraId="71FEC658" w14:textId="21279CB2" w:rsidR="00075756" w:rsidRPr="009719FF" w:rsidRDefault="00993138" w:rsidP="008839DF">
            <w:pPr>
              <w:rPr>
                <w:b/>
              </w:rPr>
            </w:pPr>
            <w:r w:rsidRPr="009719FF">
              <w:t>05</w:t>
            </w:r>
          </w:p>
        </w:tc>
        <w:tc>
          <w:tcPr>
            <w:tcW w:w="2402" w:type="dxa"/>
            <w:vAlign w:val="center"/>
          </w:tcPr>
          <w:p w14:paraId="560C1C86" w14:textId="04045136" w:rsidR="00075756" w:rsidRPr="009719FF" w:rsidRDefault="00075756" w:rsidP="008839DF"/>
        </w:tc>
        <w:tc>
          <w:tcPr>
            <w:tcW w:w="2387" w:type="dxa"/>
            <w:vAlign w:val="center"/>
          </w:tcPr>
          <w:p w14:paraId="29AF1294" w14:textId="7610F7EE" w:rsidR="00075756" w:rsidRPr="009719FF" w:rsidRDefault="00075756" w:rsidP="008839DF"/>
        </w:tc>
        <w:tc>
          <w:tcPr>
            <w:tcW w:w="2393" w:type="dxa"/>
            <w:vAlign w:val="center"/>
          </w:tcPr>
          <w:p w14:paraId="3C687FB3" w14:textId="5D252BDF" w:rsidR="00075756" w:rsidRPr="009719FF" w:rsidRDefault="00075756" w:rsidP="008839DF"/>
        </w:tc>
      </w:tr>
      <w:tr w:rsidR="00075756" w:rsidRPr="00BE5982" w14:paraId="497ECB77" w14:textId="77777777" w:rsidTr="00370BA0">
        <w:tc>
          <w:tcPr>
            <w:tcW w:w="2379" w:type="dxa"/>
            <w:vAlign w:val="center"/>
          </w:tcPr>
          <w:p w14:paraId="2D5672B5" w14:textId="7E15EE05" w:rsidR="00075756" w:rsidRPr="009719FF" w:rsidRDefault="00993138" w:rsidP="008839DF">
            <w:pPr>
              <w:rPr>
                <w:b/>
              </w:rPr>
            </w:pPr>
            <w:r w:rsidRPr="009719FF">
              <w:t>06</w:t>
            </w:r>
          </w:p>
        </w:tc>
        <w:tc>
          <w:tcPr>
            <w:tcW w:w="2402" w:type="dxa"/>
            <w:vAlign w:val="center"/>
          </w:tcPr>
          <w:p w14:paraId="687B4B2A" w14:textId="74F95458" w:rsidR="00075756" w:rsidRPr="009719FF" w:rsidRDefault="00075756" w:rsidP="008839DF"/>
        </w:tc>
        <w:tc>
          <w:tcPr>
            <w:tcW w:w="2387" w:type="dxa"/>
            <w:vAlign w:val="center"/>
          </w:tcPr>
          <w:p w14:paraId="5CFF7A0D" w14:textId="4F1BB4F1" w:rsidR="00075756" w:rsidRPr="009719FF" w:rsidRDefault="00075756" w:rsidP="008839DF"/>
        </w:tc>
        <w:tc>
          <w:tcPr>
            <w:tcW w:w="2393" w:type="dxa"/>
            <w:vAlign w:val="center"/>
          </w:tcPr>
          <w:p w14:paraId="4FFA1EDC" w14:textId="34AC3FE3" w:rsidR="00075756" w:rsidRPr="009719FF" w:rsidRDefault="00075756" w:rsidP="008839DF"/>
        </w:tc>
      </w:tr>
      <w:tr w:rsidR="00075756" w:rsidRPr="00BE5982" w14:paraId="4789E7EC" w14:textId="77777777" w:rsidTr="00370BA0">
        <w:tc>
          <w:tcPr>
            <w:tcW w:w="2379" w:type="dxa"/>
            <w:vAlign w:val="center"/>
          </w:tcPr>
          <w:p w14:paraId="413804ED" w14:textId="387D91F7" w:rsidR="00075756" w:rsidRPr="009719FF" w:rsidRDefault="00993138" w:rsidP="008839DF">
            <w:pPr>
              <w:rPr>
                <w:b/>
              </w:rPr>
            </w:pPr>
            <w:r w:rsidRPr="009719FF">
              <w:t>07</w:t>
            </w:r>
          </w:p>
        </w:tc>
        <w:tc>
          <w:tcPr>
            <w:tcW w:w="2402" w:type="dxa"/>
            <w:vAlign w:val="center"/>
          </w:tcPr>
          <w:p w14:paraId="1D21D2EA" w14:textId="3BD8B17E" w:rsidR="00075756" w:rsidRPr="009719FF" w:rsidRDefault="00075756" w:rsidP="008839DF"/>
        </w:tc>
        <w:tc>
          <w:tcPr>
            <w:tcW w:w="2387" w:type="dxa"/>
            <w:vAlign w:val="center"/>
          </w:tcPr>
          <w:p w14:paraId="35A5142E" w14:textId="6BD740AA" w:rsidR="00075756" w:rsidRPr="009719FF" w:rsidRDefault="00075756" w:rsidP="008839DF"/>
        </w:tc>
        <w:tc>
          <w:tcPr>
            <w:tcW w:w="2393" w:type="dxa"/>
            <w:vAlign w:val="center"/>
          </w:tcPr>
          <w:p w14:paraId="1903F2E5" w14:textId="1C25A929" w:rsidR="00075756" w:rsidRPr="009719FF" w:rsidRDefault="00075756" w:rsidP="008839DF"/>
        </w:tc>
      </w:tr>
      <w:tr w:rsidR="00075756" w:rsidRPr="00BE5982" w14:paraId="129FB77A" w14:textId="77777777" w:rsidTr="00370BA0">
        <w:tc>
          <w:tcPr>
            <w:tcW w:w="2379" w:type="dxa"/>
            <w:vAlign w:val="center"/>
          </w:tcPr>
          <w:p w14:paraId="1093336F" w14:textId="1F3945A8" w:rsidR="00075756" w:rsidRPr="009719FF" w:rsidRDefault="00993138" w:rsidP="008839DF">
            <w:pPr>
              <w:rPr>
                <w:b/>
              </w:rPr>
            </w:pPr>
            <w:r w:rsidRPr="009719FF">
              <w:t>08</w:t>
            </w:r>
          </w:p>
        </w:tc>
        <w:tc>
          <w:tcPr>
            <w:tcW w:w="2402" w:type="dxa"/>
            <w:vAlign w:val="center"/>
          </w:tcPr>
          <w:p w14:paraId="7A28F5F9" w14:textId="08507A48" w:rsidR="00075756" w:rsidRPr="009719FF" w:rsidRDefault="00075756" w:rsidP="008839DF"/>
        </w:tc>
        <w:tc>
          <w:tcPr>
            <w:tcW w:w="2387" w:type="dxa"/>
            <w:vAlign w:val="center"/>
          </w:tcPr>
          <w:p w14:paraId="10714AB2" w14:textId="33C42F1F" w:rsidR="00075756" w:rsidRPr="009719FF" w:rsidRDefault="00075756" w:rsidP="008839DF"/>
        </w:tc>
        <w:tc>
          <w:tcPr>
            <w:tcW w:w="2393" w:type="dxa"/>
            <w:vAlign w:val="center"/>
          </w:tcPr>
          <w:p w14:paraId="654B3E3E" w14:textId="031E12CF" w:rsidR="00075756" w:rsidRPr="009719FF" w:rsidRDefault="00075756" w:rsidP="008839DF"/>
        </w:tc>
      </w:tr>
      <w:tr w:rsidR="00075756" w:rsidRPr="00BE5982" w14:paraId="4266B5E1" w14:textId="77777777" w:rsidTr="00370BA0">
        <w:tc>
          <w:tcPr>
            <w:tcW w:w="2379" w:type="dxa"/>
            <w:vAlign w:val="center"/>
          </w:tcPr>
          <w:p w14:paraId="144E8CD4" w14:textId="5E63F5E3" w:rsidR="00075756" w:rsidRPr="009719FF" w:rsidRDefault="00993138" w:rsidP="008839DF">
            <w:pPr>
              <w:rPr>
                <w:b/>
              </w:rPr>
            </w:pPr>
            <w:r w:rsidRPr="009719FF">
              <w:t>09</w:t>
            </w:r>
          </w:p>
        </w:tc>
        <w:tc>
          <w:tcPr>
            <w:tcW w:w="2402" w:type="dxa"/>
            <w:vAlign w:val="center"/>
          </w:tcPr>
          <w:p w14:paraId="247D5BC3" w14:textId="3AF7C210" w:rsidR="00075756" w:rsidRPr="009719FF" w:rsidRDefault="00075756" w:rsidP="008839DF"/>
        </w:tc>
        <w:tc>
          <w:tcPr>
            <w:tcW w:w="2387" w:type="dxa"/>
            <w:vAlign w:val="center"/>
          </w:tcPr>
          <w:p w14:paraId="78360AE6" w14:textId="6455645A" w:rsidR="00075756" w:rsidRPr="009719FF" w:rsidRDefault="00075756" w:rsidP="008839DF"/>
        </w:tc>
        <w:tc>
          <w:tcPr>
            <w:tcW w:w="2393" w:type="dxa"/>
            <w:vAlign w:val="center"/>
          </w:tcPr>
          <w:p w14:paraId="4C4D0933" w14:textId="126FC140" w:rsidR="00075756" w:rsidRPr="009719FF" w:rsidRDefault="00075756" w:rsidP="008839DF"/>
        </w:tc>
      </w:tr>
      <w:tr w:rsidR="00075756" w:rsidRPr="00BE5982" w14:paraId="7C3B39C2" w14:textId="77777777" w:rsidTr="00370BA0">
        <w:tc>
          <w:tcPr>
            <w:tcW w:w="2379" w:type="dxa"/>
            <w:vAlign w:val="center"/>
          </w:tcPr>
          <w:p w14:paraId="795C5619" w14:textId="273B194C" w:rsidR="00075756" w:rsidRPr="009719FF" w:rsidRDefault="00993138" w:rsidP="008839DF">
            <w:pPr>
              <w:rPr>
                <w:b/>
              </w:rPr>
            </w:pPr>
            <w:r w:rsidRPr="009719FF">
              <w:t>10</w:t>
            </w:r>
          </w:p>
        </w:tc>
        <w:tc>
          <w:tcPr>
            <w:tcW w:w="2402" w:type="dxa"/>
            <w:vAlign w:val="center"/>
          </w:tcPr>
          <w:p w14:paraId="665FE35B" w14:textId="00C3F7F3" w:rsidR="00075756" w:rsidRPr="009719FF" w:rsidRDefault="00075756" w:rsidP="008839DF"/>
        </w:tc>
        <w:tc>
          <w:tcPr>
            <w:tcW w:w="2387" w:type="dxa"/>
            <w:vAlign w:val="center"/>
          </w:tcPr>
          <w:p w14:paraId="07A21804" w14:textId="26C5791C" w:rsidR="00075756" w:rsidRPr="009719FF" w:rsidRDefault="00075756" w:rsidP="008839DF"/>
        </w:tc>
        <w:tc>
          <w:tcPr>
            <w:tcW w:w="2393" w:type="dxa"/>
            <w:vAlign w:val="center"/>
          </w:tcPr>
          <w:p w14:paraId="708011E4" w14:textId="4DDCB2D5" w:rsidR="00075756" w:rsidRPr="009719FF" w:rsidRDefault="00075756" w:rsidP="008839DF"/>
        </w:tc>
      </w:tr>
      <w:tr w:rsidR="00C34272" w:rsidRPr="00BE5982" w14:paraId="00A1FA98" w14:textId="77777777" w:rsidTr="00370BA0">
        <w:tc>
          <w:tcPr>
            <w:tcW w:w="2379" w:type="dxa"/>
            <w:vAlign w:val="center"/>
          </w:tcPr>
          <w:p w14:paraId="38D3B7B6" w14:textId="534298BA" w:rsidR="00C34272" w:rsidRPr="00C34272" w:rsidRDefault="00C34272" w:rsidP="008839DF">
            <w:pPr>
              <w:rPr>
                <w:b/>
                <w:bCs/>
              </w:rPr>
            </w:pPr>
            <w:r w:rsidRPr="00C34272">
              <w:t>11</w:t>
            </w:r>
          </w:p>
        </w:tc>
        <w:tc>
          <w:tcPr>
            <w:tcW w:w="2402" w:type="dxa"/>
            <w:vAlign w:val="center"/>
          </w:tcPr>
          <w:p w14:paraId="2D3B9B08" w14:textId="6532BBA9" w:rsidR="00C34272" w:rsidRPr="00C34272" w:rsidRDefault="00C34272" w:rsidP="008839DF"/>
        </w:tc>
        <w:tc>
          <w:tcPr>
            <w:tcW w:w="2387" w:type="dxa"/>
            <w:vAlign w:val="center"/>
          </w:tcPr>
          <w:p w14:paraId="62B75A8B" w14:textId="556D8276" w:rsidR="00C34272" w:rsidRPr="00C34272" w:rsidRDefault="00C34272" w:rsidP="008839DF"/>
        </w:tc>
        <w:tc>
          <w:tcPr>
            <w:tcW w:w="2393" w:type="dxa"/>
            <w:vAlign w:val="center"/>
          </w:tcPr>
          <w:p w14:paraId="2F198221" w14:textId="790BD168" w:rsidR="00C34272" w:rsidRPr="00C34272" w:rsidRDefault="00C34272" w:rsidP="008839DF"/>
        </w:tc>
      </w:tr>
    </w:tbl>
    <w:p w14:paraId="3AF1D6A4" w14:textId="77777777" w:rsidR="003B30FB" w:rsidRPr="00BE5982" w:rsidRDefault="003B30FB" w:rsidP="007C5C22">
      <w:pPr>
        <w:spacing w:before="0"/>
      </w:pPr>
    </w:p>
    <w:p w14:paraId="2389672D" w14:textId="77777777" w:rsidR="00775C9A" w:rsidRDefault="00775C9A" w:rsidP="00775C9A">
      <w:pPr>
        <w:spacing w:before="0"/>
      </w:pPr>
    </w:p>
    <w:p w14:paraId="205CD61C" w14:textId="77777777" w:rsidR="00185878" w:rsidRDefault="00185878">
      <w:pPr>
        <w:spacing w:before="0"/>
      </w:pPr>
      <w:r>
        <w:br w:type="page"/>
      </w:r>
    </w:p>
    <w:sdt>
      <w:sdtPr>
        <w:rPr>
          <w:rFonts w:ascii="Arial" w:eastAsia="Times New Roman" w:hAnsi="Arial" w:cs="Times New Roman"/>
          <w:color w:val="auto"/>
          <w:sz w:val="22"/>
          <w:szCs w:val="24"/>
          <w:lang w:val="en-GB"/>
        </w:rPr>
        <w:id w:val="2049794246"/>
        <w:docPartObj>
          <w:docPartGallery w:val="Table of Contents"/>
          <w:docPartUnique/>
        </w:docPartObj>
      </w:sdtPr>
      <w:sdtEndPr>
        <w:rPr>
          <w:b/>
          <w:szCs w:val="22"/>
        </w:rPr>
      </w:sdtEndPr>
      <w:sdtContent>
        <w:p w14:paraId="3740A5D5" w14:textId="6A258972" w:rsidR="00F02DD6" w:rsidRPr="00CA75A2" w:rsidRDefault="00F02DD6">
          <w:pPr>
            <w:pStyle w:val="TOCHeading"/>
            <w:rPr>
              <w:rFonts w:ascii="Arial" w:hAnsi="Arial" w:cs="Arial"/>
              <w:b/>
              <w:bCs/>
              <w:color w:val="004846"/>
            </w:rPr>
          </w:pPr>
          <w:r w:rsidRPr="00CA75A2">
            <w:rPr>
              <w:rFonts w:ascii="Arial" w:hAnsi="Arial" w:cs="Arial"/>
              <w:b/>
              <w:bCs/>
              <w:color w:val="004846"/>
            </w:rPr>
            <w:t>Contents</w:t>
          </w:r>
        </w:p>
        <w:p w14:paraId="52A2DDBB" w14:textId="21E90D3E" w:rsidR="00F377FA" w:rsidRDefault="00F02DD6">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"1-3" \h \z \u </w:instrText>
          </w:r>
          <w:r>
            <w:fldChar w:fldCharType="separate"/>
          </w:r>
          <w:hyperlink w:anchor="_Toc202532927" w:history="1">
            <w:r w:rsidR="00F377FA" w:rsidRPr="001A3608">
              <w:rPr>
                <w:rStyle w:val="Hyperlink"/>
                <w:iCs/>
                <w:noProof/>
              </w:rPr>
              <w:t>1</w:t>
            </w:r>
            <w:r w:rsidR="00F377FA">
              <w:rPr>
                <w:rFonts w:asciiTheme="minorHAnsi" w:eastAsiaTheme="minorEastAsia" w:hAnsiTheme="minorHAnsi" w:cstheme="minorBidi"/>
                <w:noProof/>
                <w:kern w:val="2"/>
                <w:sz w:val="24"/>
                <w:lang w:eastAsia="en-GB"/>
                <w14:ligatures w14:val="standardContextual"/>
              </w:rPr>
              <w:tab/>
            </w:r>
            <w:r w:rsidR="00F377FA" w:rsidRPr="001A3608">
              <w:rPr>
                <w:rStyle w:val="Hyperlink"/>
                <w:noProof/>
              </w:rPr>
              <w:t>SCDP Market Engagements</w:t>
            </w:r>
            <w:r w:rsidR="00F377FA">
              <w:rPr>
                <w:noProof/>
                <w:webHidden/>
              </w:rPr>
              <w:tab/>
            </w:r>
            <w:r w:rsidR="00F377FA">
              <w:rPr>
                <w:noProof/>
                <w:webHidden/>
              </w:rPr>
              <w:fldChar w:fldCharType="begin"/>
            </w:r>
            <w:r w:rsidR="00F377FA">
              <w:rPr>
                <w:noProof/>
                <w:webHidden/>
              </w:rPr>
              <w:instrText xml:space="preserve"> PAGEREF _Toc202532927 \h </w:instrText>
            </w:r>
            <w:r w:rsidR="00F377FA">
              <w:rPr>
                <w:noProof/>
                <w:webHidden/>
              </w:rPr>
            </w:r>
            <w:r w:rsidR="00F377FA">
              <w:rPr>
                <w:noProof/>
                <w:webHidden/>
              </w:rPr>
              <w:fldChar w:fldCharType="separate"/>
            </w:r>
            <w:r w:rsidR="00F377FA">
              <w:rPr>
                <w:noProof/>
                <w:webHidden/>
              </w:rPr>
              <w:t>6</w:t>
            </w:r>
            <w:r w:rsidR="00F377FA">
              <w:rPr>
                <w:noProof/>
                <w:webHidden/>
              </w:rPr>
              <w:fldChar w:fldCharType="end"/>
            </w:r>
          </w:hyperlink>
        </w:p>
        <w:p w14:paraId="4D214099" w14:textId="34D3F4C8" w:rsidR="00F377FA" w:rsidRDefault="00F377FA">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202532928" w:history="1">
            <w:r w:rsidRPr="001A3608">
              <w:rPr>
                <w:rStyle w:val="Hyperlink"/>
                <w:iCs/>
                <w:noProof/>
              </w:rPr>
              <w:t>2</w:t>
            </w:r>
            <w:r>
              <w:rPr>
                <w:rFonts w:asciiTheme="minorHAnsi" w:eastAsiaTheme="minorEastAsia" w:hAnsiTheme="minorHAnsi" w:cstheme="minorBidi"/>
                <w:noProof/>
                <w:kern w:val="2"/>
                <w:sz w:val="24"/>
                <w:lang w:eastAsia="en-GB"/>
                <w14:ligatures w14:val="standardContextual"/>
              </w:rPr>
              <w:tab/>
            </w:r>
            <w:r w:rsidRPr="001A3608">
              <w:rPr>
                <w:rStyle w:val="Hyperlink"/>
                <w:noProof/>
              </w:rPr>
              <w:t>Market Engagement: 1-2-1 Engagement Sessions 2023</w:t>
            </w:r>
            <w:r>
              <w:rPr>
                <w:noProof/>
                <w:webHidden/>
              </w:rPr>
              <w:tab/>
            </w:r>
            <w:r>
              <w:rPr>
                <w:noProof/>
                <w:webHidden/>
              </w:rPr>
              <w:fldChar w:fldCharType="begin"/>
            </w:r>
            <w:r>
              <w:rPr>
                <w:noProof/>
                <w:webHidden/>
              </w:rPr>
              <w:instrText xml:space="preserve"> PAGEREF _Toc202532928 \h </w:instrText>
            </w:r>
            <w:r>
              <w:rPr>
                <w:noProof/>
                <w:webHidden/>
              </w:rPr>
            </w:r>
            <w:r>
              <w:rPr>
                <w:noProof/>
                <w:webHidden/>
              </w:rPr>
              <w:fldChar w:fldCharType="separate"/>
            </w:r>
            <w:r>
              <w:rPr>
                <w:noProof/>
                <w:webHidden/>
              </w:rPr>
              <w:t>7</w:t>
            </w:r>
            <w:r>
              <w:rPr>
                <w:noProof/>
                <w:webHidden/>
              </w:rPr>
              <w:fldChar w:fldCharType="end"/>
            </w:r>
          </w:hyperlink>
        </w:p>
        <w:p w14:paraId="0FB81C7B" w14:textId="21EDB900" w:rsidR="00F377FA" w:rsidRDefault="00F377FA">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202532929" w:history="1">
            <w:r w:rsidRPr="001A3608">
              <w:rPr>
                <w:rStyle w:val="Hyperlink"/>
                <w:iCs/>
                <w:noProof/>
              </w:rPr>
              <w:t>3</w:t>
            </w:r>
            <w:r>
              <w:rPr>
                <w:rFonts w:asciiTheme="minorHAnsi" w:eastAsiaTheme="minorEastAsia" w:hAnsiTheme="minorHAnsi" w:cstheme="minorBidi"/>
                <w:noProof/>
                <w:kern w:val="2"/>
                <w:sz w:val="24"/>
                <w:lang w:eastAsia="en-GB"/>
                <w14:ligatures w14:val="standardContextual"/>
              </w:rPr>
              <w:tab/>
            </w:r>
            <w:r w:rsidRPr="001A3608">
              <w:rPr>
                <w:rStyle w:val="Hyperlink"/>
                <w:noProof/>
              </w:rPr>
              <w:t>Market Engagement: 1-2-1 Engagement Sessions 2024</w:t>
            </w:r>
            <w:r>
              <w:rPr>
                <w:noProof/>
                <w:webHidden/>
              </w:rPr>
              <w:tab/>
            </w:r>
            <w:r>
              <w:rPr>
                <w:noProof/>
                <w:webHidden/>
              </w:rPr>
              <w:fldChar w:fldCharType="begin"/>
            </w:r>
            <w:r>
              <w:rPr>
                <w:noProof/>
                <w:webHidden/>
              </w:rPr>
              <w:instrText xml:space="preserve"> PAGEREF _Toc202532929 \h </w:instrText>
            </w:r>
            <w:r>
              <w:rPr>
                <w:noProof/>
                <w:webHidden/>
              </w:rPr>
            </w:r>
            <w:r>
              <w:rPr>
                <w:noProof/>
                <w:webHidden/>
              </w:rPr>
              <w:fldChar w:fldCharType="separate"/>
            </w:r>
            <w:r>
              <w:rPr>
                <w:noProof/>
                <w:webHidden/>
              </w:rPr>
              <w:t>9</w:t>
            </w:r>
            <w:r>
              <w:rPr>
                <w:noProof/>
                <w:webHidden/>
              </w:rPr>
              <w:fldChar w:fldCharType="end"/>
            </w:r>
          </w:hyperlink>
        </w:p>
        <w:p w14:paraId="25294791" w14:textId="4BA1E6A6" w:rsidR="00F377FA" w:rsidRDefault="00F377FA">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202532930" w:history="1">
            <w:r w:rsidRPr="001A3608">
              <w:rPr>
                <w:rStyle w:val="Hyperlink"/>
                <w:iCs/>
                <w:noProof/>
              </w:rPr>
              <w:t>4</w:t>
            </w:r>
            <w:r>
              <w:rPr>
                <w:rFonts w:asciiTheme="minorHAnsi" w:eastAsiaTheme="minorEastAsia" w:hAnsiTheme="minorHAnsi" w:cstheme="minorBidi"/>
                <w:noProof/>
                <w:kern w:val="2"/>
                <w:sz w:val="24"/>
                <w:lang w:eastAsia="en-GB"/>
                <w14:ligatures w14:val="standardContextual"/>
              </w:rPr>
              <w:tab/>
            </w:r>
            <w:r w:rsidRPr="001A3608">
              <w:rPr>
                <w:rStyle w:val="Hyperlink"/>
                <w:noProof/>
              </w:rPr>
              <w:t>SCDP Contracting and Competition Principles Document</w:t>
            </w:r>
            <w:r>
              <w:rPr>
                <w:noProof/>
                <w:webHidden/>
              </w:rPr>
              <w:tab/>
            </w:r>
            <w:r>
              <w:rPr>
                <w:noProof/>
                <w:webHidden/>
              </w:rPr>
              <w:fldChar w:fldCharType="begin"/>
            </w:r>
            <w:r>
              <w:rPr>
                <w:noProof/>
                <w:webHidden/>
              </w:rPr>
              <w:instrText xml:space="preserve"> PAGEREF _Toc202532930 \h </w:instrText>
            </w:r>
            <w:r>
              <w:rPr>
                <w:noProof/>
                <w:webHidden/>
              </w:rPr>
            </w:r>
            <w:r>
              <w:rPr>
                <w:noProof/>
                <w:webHidden/>
              </w:rPr>
              <w:fldChar w:fldCharType="separate"/>
            </w:r>
            <w:r>
              <w:rPr>
                <w:noProof/>
                <w:webHidden/>
              </w:rPr>
              <w:t>11</w:t>
            </w:r>
            <w:r>
              <w:rPr>
                <w:noProof/>
                <w:webHidden/>
              </w:rPr>
              <w:fldChar w:fldCharType="end"/>
            </w:r>
          </w:hyperlink>
        </w:p>
        <w:p w14:paraId="3BAB57F3" w14:textId="545725CE" w:rsidR="00F377FA" w:rsidRDefault="00F377FA">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202532931" w:history="1">
            <w:r w:rsidRPr="001A3608">
              <w:rPr>
                <w:rStyle w:val="Hyperlink"/>
                <w:iCs/>
                <w:noProof/>
              </w:rPr>
              <w:t>5</w:t>
            </w:r>
            <w:r>
              <w:rPr>
                <w:rFonts w:asciiTheme="minorHAnsi" w:eastAsiaTheme="minorEastAsia" w:hAnsiTheme="minorHAnsi" w:cstheme="minorBidi"/>
                <w:noProof/>
                <w:kern w:val="2"/>
                <w:sz w:val="24"/>
                <w:lang w:eastAsia="en-GB"/>
                <w14:ligatures w14:val="standardContextual"/>
              </w:rPr>
              <w:tab/>
            </w:r>
            <w:r w:rsidRPr="001A3608">
              <w:rPr>
                <w:rStyle w:val="Hyperlink"/>
                <w:noProof/>
              </w:rPr>
              <w:t>Market Engagement: Online Engagement Sessions</w:t>
            </w:r>
            <w:r>
              <w:rPr>
                <w:noProof/>
                <w:webHidden/>
              </w:rPr>
              <w:tab/>
            </w:r>
            <w:r>
              <w:rPr>
                <w:noProof/>
                <w:webHidden/>
              </w:rPr>
              <w:fldChar w:fldCharType="begin"/>
            </w:r>
            <w:r>
              <w:rPr>
                <w:noProof/>
                <w:webHidden/>
              </w:rPr>
              <w:instrText xml:space="preserve"> PAGEREF _Toc202532931 \h </w:instrText>
            </w:r>
            <w:r>
              <w:rPr>
                <w:noProof/>
                <w:webHidden/>
              </w:rPr>
            </w:r>
            <w:r>
              <w:rPr>
                <w:noProof/>
                <w:webHidden/>
              </w:rPr>
              <w:fldChar w:fldCharType="separate"/>
            </w:r>
            <w:r>
              <w:rPr>
                <w:noProof/>
                <w:webHidden/>
              </w:rPr>
              <w:t>14</w:t>
            </w:r>
            <w:r>
              <w:rPr>
                <w:noProof/>
                <w:webHidden/>
              </w:rPr>
              <w:fldChar w:fldCharType="end"/>
            </w:r>
          </w:hyperlink>
        </w:p>
        <w:p w14:paraId="3759C9B0" w14:textId="79C14807" w:rsidR="00F377FA" w:rsidRDefault="00F377FA">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202532932" w:history="1">
            <w:r w:rsidRPr="001A3608">
              <w:rPr>
                <w:rStyle w:val="Hyperlink"/>
                <w:iCs/>
                <w:noProof/>
              </w:rPr>
              <w:t>6</w:t>
            </w:r>
            <w:r>
              <w:rPr>
                <w:rFonts w:asciiTheme="minorHAnsi" w:eastAsiaTheme="minorEastAsia" w:hAnsiTheme="minorHAnsi" w:cstheme="minorBidi"/>
                <w:noProof/>
                <w:kern w:val="2"/>
                <w:sz w:val="24"/>
                <w:lang w:eastAsia="en-GB"/>
                <w14:ligatures w14:val="standardContextual"/>
              </w:rPr>
              <w:tab/>
            </w:r>
            <w:r w:rsidRPr="001A3608">
              <w:rPr>
                <w:rStyle w:val="Hyperlink"/>
                <w:noProof/>
              </w:rPr>
              <w:t>Market Engagement: 1-2-1 Engagement Sessions Nov 2024</w:t>
            </w:r>
            <w:r>
              <w:rPr>
                <w:noProof/>
                <w:webHidden/>
              </w:rPr>
              <w:tab/>
            </w:r>
            <w:r>
              <w:rPr>
                <w:noProof/>
                <w:webHidden/>
              </w:rPr>
              <w:fldChar w:fldCharType="begin"/>
            </w:r>
            <w:r>
              <w:rPr>
                <w:noProof/>
                <w:webHidden/>
              </w:rPr>
              <w:instrText xml:space="preserve"> PAGEREF _Toc202532932 \h </w:instrText>
            </w:r>
            <w:r>
              <w:rPr>
                <w:noProof/>
                <w:webHidden/>
              </w:rPr>
            </w:r>
            <w:r>
              <w:rPr>
                <w:noProof/>
                <w:webHidden/>
              </w:rPr>
              <w:fldChar w:fldCharType="separate"/>
            </w:r>
            <w:r>
              <w:rPr>
                <w:noProof/>
                <w:webHidden/>
              </w:rPr>
              <w:t>15</w:t>
            </w:r>
            <w:r>
              <w:rPr>
                <w:noProof/>
                <w:webHidden/>
              </w:rPr>
              <w:fldChar w:fldCharType="end"/>
            </w:r>
          </w:hyperlink>
        </w:p>
        <w:p w14:paraId="0A9B3890" w14:textId="63DCF34D" w:rsidR="00F377FA" w:rsidRDefault="00F377F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202532933" w:history="1">
            <w:r w:rsidRPr="001A3608">
              <w:rPr>
                <w:rStyle w:val="Hyperlink"/>
                <w:noProof/>
                <w14:scene3d>
                  <w14:camera w14:prst="orthographicFront"/>
                  <w14:lightRig w14:rig="threePt" w14:dir="t">
                    <w14:rot w14:lat="0" w14:lon="0" w14:rev="0"/>
                  </w14:lightRig>
                </w14:scene3d>
              </w:rPr>
              <w:t>6.1</w:t>
            </w:r>
            <w:r>
              <w:rPr>
                <w:rFonts w:asciiTheme="minorHAnsi" w:eastAsiaTheme="minorEastAsia" w:hAnsiTheme="minorHAnsi" w:cstheme="minorBidi"/>
                <w:noProof/>
                <w:kern w:val="2"/>
                <w:sz w:val="24"/>
                <w:lang w:eastAsia="en-GB"/>
                <w14:ligatures w14:val="standardContextual"/>
              </w:rPr>
              <w:tab/>
            </w:r>
            <w:r w:rsidRPr="001A3608">
              <w:rPr>
                <w:rStyle w:val="Hyperlink"/>
                <w:noProof/>
              </w:rPr>
              <w:t>Contracting and Competition Principles Document</w:t>
            </w:r>
            <w:r>
              <w:rPr>
                <w:noProof/>
                <w:webHidden/>
              </w:rPr>
              <w:tab/>
            </w:r>
            <w:r>
              <w:rPr>
                <w:noProof/>
                <w:webHidden/>
              </w:rPr>
              <w:fldChar w:fldCharType="begin"/>
            </w:r>
            <w:r>
              <w:rPr>
                <w:noProof/>
                <w:webHidden/>
              </w:rPr>
              <w:instrText xml:space="preserve"> PAGEREF _Toc202532933 \h </w:instrText>
            </w:r>
            <w:r>
              <w:rPr>
                <w:noProof/>
                <w:webHidden/>
              </w:rPr>
            </w:r>
            <w:r>
              <w:rPr>
                <w:noProof/>
                <w:webHidden/>
              </w:rPr>
              <w:fldChar w:fldCharType="separate"/>
            </w:r>
            <w:r>
              <w:rPr>
                <w:noProof/>
                <w:webHidden/>
              </w:rPr>
              <w:t>15</w:t>
            </w:r>
            <w:r>
              <w:rPr>
                <w:noProof/>
                <w:webHidden/>
              </w:rPr>
              <w:fldChar w:fldCharType="end"/>
            </w:r>
          </w:hyperlink>
        </w:p>
        <w:p w14:paraId="7FD594B2" w14:textId="7956A523" w:rsidR="00F377FA" w:rsidRDefault="00F377F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202532934" w:history="1">
            <w:r w:rsidRPr="001A3608">
              <w:rPr>
                <w:rStyle w:val="Hyperlink"/>
                <w:noProof/>
                <w14:scene3d>
                  <w14:camera w14:prst="orthographicFront"/>
                  <w14:lightRig w14:rig="threePt" w14:dir="t">
                    <w14:rot w14:lat="0" w14:lon="0" w14:rev="0"/>
                  </w14:lightRig>
                </w14:scene3d>
              </w:rPr>
              <w:t>6.2</w:t>
            </w:r>
            <w:r>
              <w:rPr>
                <w:rFonts w:asciiTheme="minorHAnsi" w:eastAsiaTheme="minorEastAsia" w:hAnsiTheme="minorHAnsi" w:cstheme="minorBidi"/>
                <w:noProof/>
                <w:kern w:val="2"/>
                <w:sz w:val="24"/>
                <w:lang w:eastAsia="en-GB"/>
                <w14:ligatures w14:val="standardContextual"/>
              </w:rPr>
              <w:tab/>
            </w:r>
            <w:r w:rsidRPr="001A3608">
              <w:rPr>
                <w:rStyle w:val="Hyperlink"/>
                <w:noProof/>
              </w:rPr>
              <w:t>SFI Handbook</w:t>
            </w:r>
            <w:r>
              <w:rPr>
                <w:noProof/>
                <w:webHidden/>
              </w:rPr>
              <w:tab/>
            </w:r>
            <w:r>
              <w:rPr>
                <w:noProof/>
                <w:webHidden/>
              </w:rPr>
              <w:fldChar w:fldCharType="begin"/>
            </w:r>
            <w:r>
              <w:rPr>
                <w:noProof/>
                <w:webHidden/>
              </w:rPr>
              <w:instrText xml:space="preserve"> PAGEREF _Toc202532934 \h </w:instrText>
            </w:r>
            <w:r>
              <w:rPr>
                <w:noProof/>
                <w:webHidden/>
              </w:rPr>
            </w:r>
            <w:r>
              <w:rPr>
                <w:noProof/>
                <w:webHidden/>
              </w:rPr>
              <w:fldChar w:fldCharType="separate"/>
            </w:r>
            <w:r>
              <w:rPr>
                <w:noProof/>
                <w:webHidden/>
              </w:rPr>
              <w:t>22</w:t>
            </w:r>
            <w:r>
              <w:rPr>
                <w:noProof/>
                <w:webHidden/>
              </w:rPr>
              <w:fldChar w:fldCharType="end"/>
            </w:r>
          </w:hyperlink>
        </w:p>
        <w:p w14:paraId="4626B6AB" w14:textId="48C9B3E4" w:rsidR="00F02DD6" w:rsidRDefault="00F02DD6">
          <w:r>
            <w:rPr>
              <w:b/>
              <w:bCs/>
              <w:noProof/>
            </w:rPr>
            <w:fldChar w:fldCharType="end"/>
          </w:r>
        </w:p>
      </w:sdtContent>
    </w:sdt>
    <w:p w14:paraId="4D36B34B" w14:textId="40E40A32" w:rsidR="000B6A1A" w:rsidRPr="00CA75A2" w:rsidRDefault="00836D85" w:rsidP="007C5C22">
      <w:pPr>
        <w:spacing w:before="0"/>
        <w:rPr>
          <w:b/>
          <w:bCs/>
          <w:color w:val="004846"/>
          <w:sz w:val="32"/>
          <w:szCs w:val="32"/>
        </w:rPr>
      </w:pPr>
      <w:r w:rsidRPr="00CA75A2">
        <w:rPr>
          <w:b/>
          <w:bCs/>
          <w:color w:val="004846"/>
          <w:sz w:val="32"/>
          <w:szCs w:val="32"/>
        </w:rPr>
        <w:t>Tables</w:t>
      </w:r>
    </w:p>
    <w:p w14:paraId="025DD28C" w14:textId="33D886BA" w:rsidR="00F377FA" w:rsidRDefault="00836D85">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r>
        <w:rPr>
          <w:b/>
          <w:bCs/>
          <w:sz w:val="32"/>
          <w:szCs w:val="32"/>
        </w:rPr>
        <w:fldChar w:fldCharType="begin"/>
      </w:r>
      <w:r>
        <w:rPr>
          <w:b/>
          <w:bCs/>
          <w:sz w:val="32"/>
          <w:szCs w:val="32"/>
        </w:rPr>
        <w:instrText xml:space="preserve"> TOC \h \z \c "Table" </w:instrText>
      </w:r>
      <w:r>
        <w:rPr>
          <w:b/>
          <w:bCs/>
          <w:sz w:val="32"/>
          <w:szCs w:val="32"/>
        </w:rPr>
        <w:fldChar w:fldCharType="separate"/>
      </w:r>
      <w:hyperlink w:anchor="_Toc202532935" w:history="1">
        <w:r w:rsidR="00F377FA" w:rsidRPr="00FE348C">
          <w:rPr>
            <w:rStyle w:val="Hyperlink"/>
            <w:noProof/>
          </w:rPr>
          <w:t>Table 1: Market Engagement: 1-2-1 Engagement Sessions Market Feedback 2023</w:t>
        </w:r>
        <w:r w:rsidR="00F377FA">
          <w:rPr>
            <w:noProof/>
            <w:webHidden/>
          </w:rPr>
          <w:tab/>
        </w:r>
        <w:r w:rsidR="00F377FA">
          <w:rPr>
            <w:noProof/>
            <w:webHidden/>
          </w:rPr>
          <w:fldChar w:fldCharType="begin"/>
        </w:r>
        <w:r w:rsidR="00F377FA">
          <w:rPr>
            <w:noProof/>
            <w:webHidden/>
          </w:rPr>
          <w:instrText xml:space="preserve"> PAGEREF _Toc202532935 \h </w:instrText>
        </w:r>
        <w:r w:rsidR="00F377FA">
          <w:rPr>
            <w:noProof/>
            <w:webHidden/>
          </w:rPr>
        </w:r>
        <w:r w:rsidR="00F377FA">
          <w:rPr>
            <w:noProof/>
            <w:webHidden/>
          </w:rPr>
          <w:fldChar w:fldCharType="separate"/>
        </w:r>
        <w:r w:rsidR="00F377FA">
          <w:rPr>
            <w:noProof/>
            <w:webHidden/>
          </w:rPr>
          <w:t>8</w:t>
        </w:r>
        <w:r w:rsidR="00F377FA">
          <w:rPr>
            <w:noProof/>
            <w:webHidden/>
          </w:rPr>
          <w:fldChar w:fldCharType="end"/>
        </w:r>
      </w:hyperlink>
    </w:p>
    <w:p w14:paraId="6463012D" w14:textId="167F1719" w:rsidR="00F377FA" w:rsidRDefault="00F377FA">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hyperlink w:anchor="_Toc202532936" w:history="1">
        <w:r w:rsidRPr="00FE348C">
          <w:rPr>
            <w:rStyle w:val="Hyperlink"/>
            <w:noProof/>
          </w:rPr>
          <w:t>Table 2: Market Engagement: 1-2-1 engagement sessions Market Feedback 2024</w:t>
        </w:r>
        <w:r>
          <w:rPr>
            <w:noProof/>
            <w:webHidden/>
          </w:rPr>
          <w:tab/>
        </w:r>
        <w:r>
          <w:rPr>
            <w:noProof/>
            <w:webHidden/>
          </w:rPr>
          <w:fldChar w:fldCharType="begin"/>
        </w:r>
        <w:r>
          <w:rPr>
            <w:noProof/>
            <w:webHidden/>
          </w:rPr>
          <w:instrText xml:space="preserve"> PAGEREF _Toc202532936 \h </w:instrText>
        </w:r>
        <w:r>
          <w:rPr>
            <w:noProof/>
            <w:webHidden/>
          </w:rPr>
        </w:r>
        <w:r>
          <w:rPr>
            <w:noProof/>
            <w:webHidden/>
          </w:rPr>
          <w:fldChar w:fldCharType="separate"/>
        </w:r>
        <w:r>
          <w:rPr>
            <w:noProof/>
            <w:webHidden/>
          </w:rPr>
          <w:t>10</w:t>
        </w:r>
        <w:r>
          <w:rPr>
            <w:noProof/>
            <w:webHidden/>
          </w:rPr>
          <w:fldChar w:fldCharType="end"/>
        </w:r>
      </w:hyperlink>
    </w:p>
    <w:p w14:paraId="4530FDA8" w14:textId="44685306" w:rsidR="00F377FA" w:rsidRDefault="00F377FA">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hyperlink w:anchor="_Toc202532937" w:history="1">
        <w:r w:rsidRPr="00FE348C">
          <w:rPr>
            <w:rStyle w:val="Hyperlink"/>
            <w:noProof/>
          </w:rPr>
          <w:t>Table 3: SCDP Contracting and Competition Principles Document Market Feedback</w:t>
        </w:r>
        <w:r>
          <w:rPr>
            <w:noProof/>
            <w:webHidden/>
          </w:rPr>
          <w:tab/>
        </w:r>
        <w:r>
          <w:rPr>
            <w:noProof/>
            <w:webHidden/>
          </w:rPr>
          <w:fldChar w:fldCharType="begin"/>
        </w:r>
        <w:r>
          <w:rPr>
            <w:noProof/>
            <w:webHidden/>
          </w:rPr>
          <w:instrText xml:space="preserve"> PAGEREF _Toc202532937 \h </w:instrText>
        </w:r>
        <w:r>
          <w:rPr>
            <w:noProof/>
            <w:webHidden/>
          </w:rPr>
        </w:r>
        <w:r>
          <w:rPr>
            <w:noProof/>
            <w:webHidden/>
          </w:rPr>
          <w:fldChar w:fldCharType="separate"/>
        </w:r>
        <w:r>
          <w:rPr>
            <w:noProof/>
            <w:webHidden/>
          </w:rPr>
          <w:t>13</w:t>
        </w:r>
        <w:r>
          <w:rPr>
            <w:noProof/>
            <w:webHidden/>
          </w:rPr>
          <w:fldChar w:fldCharType="end"/>
        </w:r>
      </w:hyperlink>
    </w:p>
    <w:p w14:paraId="037FEC81" w14:textId="5E9C3134" w:rsidR="00F377FA" w:rsidRDefault="00F377FA">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hyperlink w:anchor="_Toc202532938" w:history="1">
        <w:r w:rsidRPr="00FE348C">
          <w:rPr>
            <w:rStyle w:val="Hyperlink"/>
            <w:noProof/>
          </w:rPr>
          <w:t>Table 4: Contracting and Competition Principles Document Market Feedback</w:t>
        </w:r>
        <w:r>
          <w:rPr>
            <w:noProof/>
            <w:webHidden/>
          </w:rPr>
          <w:tab/>
        </w:r>
        <w:r>
          <w:rPr>
            <w:noProof/>
            <w:webHidden/>
          </w:rPr>
          <w:fldChar w:fldCharType="begin"/>
        </w:r>
        <w:r>
          <w:rPr>
            <w:noProof/>
            <w:webHidden/>
          </w:rPr>
          <w:instrText xml:space="preserve"> PAGEREF _Toc202532938 \h </w:instrText>
        </w:r>
        <w:r>
          <w:rPr>
            <w:noProof/>
            <w:webHidden/>
          </w:rPr>
        </w:r>
        <w:r>
          <w:rPr>
            <w:noProof/>
            <w:webHidden/>
          </w:rPr>
          <w:fldChar w:fldCharType="separate"/>
        </w:r>
        <w:r>
          <w:rPr>
            <w:noProof/>
            <w:webHidden/>
          </w:rPr>
          <w:t>21</w:t>
        </w:r>
        <w:r>
          <w:rPr>
            <w:noProof/>
            <w:webHidden/>
          </w:rPr>
          <w:fldChar w:fldCharType="end"/>
        </w:r>
      </w:hyperlink>
    </w:p>
    <w:p w14:paraId="5DA0B580" w14:textId="1B3EC392" w:rsidR="00F377FA" w:rsidRDefault="00F377FA">
      <w:pPr>
        <w:pStyle w:val="TableofFigures"/>
        <w:tabs>
          <w:tab w:val="right" w:leader="dot" w:pos="9561"/>
        </w:tabs>
        <w:rPr>
          <w:rFonts w:asciiTheme="minorHAnsi" w:eastAsiaTheme="minorEastAsia" w:hAnsiTheme="minorHAnsi" w:cstheme="minorBidi"/>
          <w:noProof/>
          <w:kern w:val="2"/>
          <w:sz w:val="24"/>
          <w:lang w:eastAsia="en-GB"/>
          <w14:ligatures w14:val="standardContextual"/>
        </w:rPr>
      </w:pPr>
      <w:hyperlink w:anchor="_Toc202532939" w:history="1">
        <w:r w:rsidRPr="00FE348C">
          <w:rPr>
            <w:rStyle w:val="Hyperlink"/>
            <w:noProof/>
          </w:rPr>
          <w:t>Table 5: SFI Handbook Market Feedback</w:t>
        </w:r>
        <w:r>
          <w:rPr>
            <w:noProof/>
            <w:webHidden/>
          </w:rPr>
          <w:tab/>
        </w:r>
        <w:r>
          <w:rPr>
            <w:noProof/>
            <w:webHidden/>
          </w:rPr>
          <w:fldChar w:fldCharType="begin"/>
        </w:r>
        <w:r>
          <w:rPr>
            <w:noProof/>
            <w:webHidden/>
          </w:rPr>
          <w:instrText xml:space="preserve"> PAGEREF _Toc202532939 \h </w:instrText>
        </w:r>
        <w:r>
          <w:rPr>
            <w:noProof/>
            <w:webHidden/>
          </w:rPr>
        </w:r>
        <w:r>
          <w:rPr>
            <w:noProof/>
            <w:webHidden/>
          </w:rPr>
          <w:fldChar w:fldCharType="separate"/>
        </w:r>
        <w:r>
          <w:rPr>
            <w:noProof/>
            <w:webHidden/>
          </w:rPr>
          <w:t>25</w:t>
        </w:r>
        <w:r>
          <w:rPr>
            <w:noProof/>
            <w:webHidden/>
          </w:rPr>
          <w:fldChar w:fldCharType="end"/>
        </w:r>
      </w:hyperlink>
    </w:p>
    <w:p w14:paraId="1C796764" w14:textId="1769B10A" w:rsidR="00531D0B" w:rsidRDefault="00836D85" w:rsidP="00B9688B">
      <w:pPr>
        <w:spacing w:before="0"/>
        <w:rPr>
          <w:szCs w:val="22"/>
        </w:rPr>
      </w:pPr>
      <w:r>
        <w:rPr>
          <w:b/>
          <w:bCs/>
          <w:sz w:val="32"/>
          <w:szCs w:val="32"/>
        </w:rPr>
        <w:fldChar w:fldCharType="end"/>
      </w:r>
      <w:r w:rsidR="00B9688B" w:rsidRPr="00C9090C" w:rsidDel="00B9688B">
        <w:rPr>
          <w:b/>
          <w:bCs/>
          <w:sz w:val="32"/>
          <w:szCs w:val="32"/>
        </w:rPr>
        <w:t xml:space="preserve"> </w:t>
      </w:r>
    </w:p>
    <w:p w14:paraId="2E4D83E0" w14:textId="77777777" w:rsidR="00531D0B" w:rsidRDefault="00531D0B" w:rsidP="007C5C22">
      <w:pPr>
        <w:spacing w:before="0"/>
        <w:rPr>
          <w:szCs w:val="22"/>
        </w:rPr>
      </w:pPr>
    </w:p>
    <w:p w14:paraId="1CADD23C" w14:textId="77777777" w:rsidR="001C1788" w:rsidRDefault="001C1788">
      <w:pPr>
        <w:spacing w:before="0"/>
        <w:rPr>
          <w:szCs w:val="22"/>
        </w:rPr>
      </w:pPr>
      <w:bookmarkStart w:id="2" w:name="_Toc35432042"/>
      <w:r>
        <w:rPr>
          <w:szCs w:val="22"/>
        </w:rPr>
        <w:br w:type="page"/>
      </w:r>
    </w:p>
    <w:p w14:paraId="06A443DD" w14:textId="45710A88" w:rsidR="00832D12" w:rsidRPr="00BE5982" w:rsidRDefault="00832D12" w:rsidP="00C05B9E">
      <w:pPr>
        <w:jc w:val="center"/>
        <w:rPr>
          <w:sz w:val="32"/>
          <w:szCs w:val="32"/>
        </w:rPr>
      </w:pPr>
      <w:r w:rsidRPr="00BE5982">
        <w:rPr>
          <w:sz w:val="32"/>
          <w:szCs w:val="32"/>
        </w:rPr>
        <w:t>Abbreviations and Definitions</w:t>
      </w:r>
    </w:p>
    <w:p w14:paraId="1FE75349" w14:textId="5B367287" w:rsidR="00C05B9E" w:rsidRDefault="00C05B9E" w:rsidP="00832D12"/>
    <w:p w14:paraId="5D2CE7AA" w14:textId="77777777" w:rsidR="00381066" w:rsidRDefault="00381066" w:rsidP="00832D12"/>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6975"/>
      </w:tblGrid>
      <w:tr w:rsidR="00E84038" w14:paraId="51748623" w14:textId="77777777" w:rsidTr="003828D3">
        <w:tc>
          <w:tcPr>
            <w:tcW w:w="2539" w:type="dxa"/>
          </w:tcPr>
          <w:p w14:paraId="42181B49" w14:textId="4E8E1891" w:rsidR="00E84038" w:rsidRPr="00E84038" w:rsidRDefault="00E84038" w:rsidP="00F66492">
            <w:r w:rsidRPr="00E84038">
              <w:t>BGS</w:t>
            </w:r>
          </w:p>
        </w:tc>
        <w:tc>
          <w:tcPr>
            <w:tcW w:w="6975" w:type="dxa"/>
          </w:tcPr>
          <w:p w14:paraId="31DB9F21" w14:textId="07A02729" w:rsidR="00E84038" w:rsidRPr="004A77AC" w:rsidRDefault="00D26134" w:rsidP="00F66492">
            <w:r w:rsidRPr="00D26134">
              <w:t xml:space="preserve">The British Geological Survey </w:t>
            </w:r>
          </w:p>
        </w:tc>
      </w:tr>
      <w:tr w:rsidR="003C7D04" w14:paraId="2E832387" w14:textId="77777777" w:rsidTr="003828D3">
        <w:tc>
          <w:tcPr>
            <w:tcW w:w="2539" w:type="dxa"/>
          </w:tcPr>
          <w:p w14:paraId="787AE828" w14:textId="4712C451" w:rsidR="003C7D04" w:rsidRPr="00E84038" w:rsidRDefault="00816DC4" w:rsidP="00F66492">
            <w:r>
              <w:t>Consultant</w:t>
            </w:r>
          </w:p>
        </w:tc>
        <w:tc>
          <w:tcPr>
            <w:tcW w:w="6975" w:type="dxa"/>
          </w:tcPr>
          <w:p w14:paraId="1E29392D" w14:textId="2BE8BFD1" w:rsidR="003C7D04" w:rsidRPr="008850A4" w:rsidRDefault="001703A3" w:rsidP="00F66492">
            <w:r w:rsidRPr="008850A4">
              <w:t>Applies to companies or individuals working in the capacity of consultant, contractor or supplier for the Site Characterisation Delivery (SCDP)</w:t>
            </w:r>
          </w:p>
        </w:tc>
      </w:tr>
      <w:tr w:rsidR="003C7D04" w14:paraId="3066C45A" w14:textId="77777777" w:rsidTr="003828D3">
        <w:tc>
          <w:tcPr>
            <w:tcW w:w="2539" w:type="dxa"/>
          </w:tcPr>
          <w:p w14:paraId="07DD0CE1" w14:textId="4FF1E7F8" w:rsidR="003C7D04" w:rsidRPr="00E84038" w:rsidRDefault="001703A3" w:rsidP="00F66492">
            <w:r>
              <w:t>Client</w:t>
            </w:r>
          </w:p>
        </w:tc>
        <w:tc>
          <w:tcPr>
            <w:tcW w:w="6975" w:type="dxa"/>
          </w:tcPr>
          <w:p w14:paraId="4643C198" w14:textId="43953504" w:rsidR="003C7D04" w:rsidRPr="008850A4" w:rsidRDefault="008850A4" w:rsidP="00F66492">
            <w:r w:rsidRPr="008850A4">
              <w:t>Nuclear Waste Services</w:t>
            </w:r>
          </w:p>
        </w:tc>
      </w:tr>
      <w:tr w:rsidR="009526F2" w14:paraId="4BD83C2B" w14:textId="77777777" w:rsidTr="003828D3">
        <w:tc>
          <w:tcPr>
            <w:tcW w:w="2539" w:type="dxa"/>
          </w:tcPr>
          <w:p w14:paraId="5BC9BF83" w14:textId="247C6846" w:rsidR="009526F2" w:rsidRPr="00CA75A2" w:rsidRDefault="009526F2" w:rsidP="00F66492">
            <w:r w:rsidRPr="00CA75A2">
              <w:t>DMA</w:t>
            </w:r>
          </w:p>
        </w:tc>
        <w:tc>
          <w:tcPr>
            <w:tcW w:w="6975" w:type="dxa"/>
          </w:tcPr>
          <w:p w14:paraId="65C4D97B" w14:textId="00BB26D2" w:rsidR="009526F2" w:rsidRPr="00714B1E" w:rsidRDefault="004A77AC" w:rsidP="00F66492">
            <w:r w:rsidRPr="004A77AC">
              <w:t>Delivery Model Assessment</w:t>
            </w:r>
          </w:p>
        </w:tc>
      </w:tr>
      <w:tr w:rsidR="006619E5" w14:paraId="79E3009D" w14:textId="77777777" w:rsidTr="003828D3">
        <w:tc>
          <w:tcPr>
            <w:tcW w:w="2539" w:type="dxa"/>
          </w:tcPr>
          <w:p w14:paraId="3AC4C521" w14:textId="1D62B241" w:rsidR="006619E5" w:rsidRPr="00594698" w:rsidRDefault="006619E5" w:rsidP="003828D3">
            <w:r w:rsidRPr="006619E5">
              <w:t>ECC</w:t>
            </w:r>
          </w:p>
        </w:tc>
        <w:tc>
          <w:tcPr>
            <w:tcW w:w="6975" w:type="dxa"/>
          </w:tcPr>
          <w:p w14:paraId="29CB5E07" w14:textId="61BAB5E8" w:rsidR="006619E5" w:rsidRDefault="006619E5" w:rsidP="003828D3">
            <w:r w:rsidRPr="006619E5">
              <w:t>Engineering Construction Contract</w:t>
            </w:r>
          </w:p>
        </w:tc>
      </w:tr>
      <w:tr w:rsidR="00594698" w14:paraId="418E8D24" w14:textId="77777777" w:rsidTr="003828D3">
        <w:tc>
          <w:tcPr>
            <w:tcW w:w="2539" w:type="dxa"/>
          </w:tcPr>
          <w:p w14:paraId="5DC9F2CE" w14:textId="7DB9B16B" w:rsidR="00594698" w:rsidRDefault="00594698" w:rsidP="003828D3">
            <w:r w:rsidRPr="00594698">
              <w:t>GDPR</w:t>
            </w:r>
          </w:p>
        </w:tc>
        <w:tc>
          <w:tcPr>
            <w:tcW w:w="6975" w:type="dxa"/>
          </w:tcPr>
          <w:p w14:paraId="2774A945" w14:textId="652992D2" w:rsidR="00594698" w:rsidRDefault="00D404EB" w:rsidP="003828D3">
            <w:r w:rsidRPr="00D404EB">
              <w:t>General Data Protection Regulation</w:t>
            </w:r>
          </w:p>
        </w:tc>
      </w:tr>
      <w:tr w:rsidR="005D2C4A" w14:paraId="61EF4D23" w14:textId="77777777" w:rsidTr="003828D3">
        <w:tc>
          <w:tcPr>
            <w:tcW w:w="2539" w:type="dxa"/>
          </w:tcPr>
          <w:p w14:paraId="5D59B84D" w14:textId="59E36B83" w:rsidR="005D2C4A" w:rsidRPr="005D2C4A" w:rsidRDefault="005D2C4A" w:rsidP="003828D3">
            <w:r>
              <w:t>KPI</w:t>
            </w:r>
          </w:p>
        </w:tc>
        <w:tc>
          <w:tcPr>
            <w:tcW w:w="6975" w:type="dxa"/>
          </w:tcPr>
          <w:p w14:paraId="56003B49" w14:textId="26751969" w:rsidR="005D2C4A" w:rsidRDefault="005D2C4A" w:rsidP="003828D3">
            <w:r>
              <w:t>Key Performance Indicator</w:t>
            </w:r>
          </w:p>
        </w:tc>
      </w:tr>
      <w:tr w:rsidR="00EB2F11" w14:paraId="1DABF411" w14:textId="77777777" w:rsidTr="003828D3">
        <w:tc>
          <w:tcPr>
            <w:tcW w:w="2539" w:type="dxa"/>
          </w:tcPr>
          <w:p w14:paraId="13DCB579" w14:textId="758A016B" w:rsidR="00EB2F11" w:rsidRPr="00EB2F11" w:rsidRDefault="002F189A" w:rsidP="003828D3">
            <w:r w:rsidRPr="002F189A">
              <w:t>LADD</w:t>
            </w:r>
          </w:p>
        </w:tc>
        <w:tc>
          <w:tcPr>
            <w:tcW w:w="6975" w:type="dxa"/>
          </w:tcPr>
          <w:p w14:paraId="152A953D" w14:textId="265802DE" w:rsidR="00EB2F11" w:rsidRDefault="002F189A" w:rsidP="003828D3">
            <w:r w:rsidRPr="002F189A">
              <w:t xml:space="preserve">Liquidated and Ascertained Damages for Delay </w:t>
            </w:r>
          </w:p>
        </w:tc>
      </w:tr>
      <w:tr w:rsidR="00D26134" w14:paraId="3ADC599B" w14:textId="77777777" w:rsidTr="003828D3">
        <w:tc>
          <w:tcPr>
            <w:tcW w:w="2539" w:type="dxa"/>
          </w:tcPr>
          <w:p w14:paraId="70887079" w14:textId="5FDBA5DE" w:rsidR="00D26134" w:rsidRPr="00DE0F55" w:rsidRDefault="00D26134" w:rsidP="003828D3">
            <w:r w:rsidRPr="00D26134">
              <w:t>NAGRA</w:t>
            </w:r>
          </w:p>
        </w:tc>
        <w:tc>
          <w:tcPr>
            <w:tcW w:w="6975" w:type="dxa"/>
          </w:tcPr>
          <w:p w14:paraId="3D4FD648" w14:textId="2828F2D8" w:rsidR="00D26134" w:rsidRPr="001619D9" w:rsidRDefault="00B416D3" w:rsidP="003828D3">
            <w:r w:rsidRPr="00B416D3">
              <w:t>National Cooperative for the Disposal of Radioactive Waste (Swiss Waste Management Organisation)</w:t>
            </w:r>
          </w:p>
        </w:tc>
      </w:tr>
      <w:tr w:rsidR="00DE0F55" w14:paraId="32AC6DC7" w14:textId="77777777" w:rsidTr="003828D3">
        <w:tc>
          <w:tcPr>
            <w:tcW w:w="2539" w:type="dxa"/>
          </w:tcPr>
          <w:p w14:paraId="786284B7" w14:textId="6733C41E" w:rsidR="00DE0F55" w:rsidRPr="00DE0F55" w:rsidRDefault="00DE0F55" w:rsidP="003828D3">
            <w:r w:rsidRPr="00DE0F55">
              <w:t>NEC</w:t>
            </w:r>
          </w:p>
        </w:tc>
        <w:tc>
          <w:tcPr>
            <w:tcW w:w="6975" w:type="dxa"/>
          </w:tcPr>
          <w:p w14:paraId="768A4CAD" w14:textId="26B49563" w:rsidR="00DE0F55" w:rsidRDefault="001619D9" w:rsidP="003828D3">
            <w:r w:rsidRPr="001619D9">
              <w:t>New Engineering Contract</w:t>
            </w:r>
          </w:p>
        </w:tc>
      </w:tr>
      <w:tr w:rsidR="00031B99" w14:paraId="14B9877D" w14:textId="77777777" w:rsidTr="003828D3">
        <w:tc>
          <w:tcPr>
            <w:tcW w:w="2539" w:type="dxa"/>
          </w:tcPr>
          <w:p w14:paraId="426EABD6" w14:textId="7FB990BB" w:rsidR="00031B99" w:rsidRPr="00031B99" w:rsidRDefault="00031B99" w:rsidP="003828D3">
            <w:r w:rsidRPr="00031B99">
              <w:t>NEC4 PSC</w:t>
            </w:r>
          </w:p>
        </w:tc>
        <w:tc>
          <w:tcPr>
            <w:tcW w:w="6975" w:type="dxa"/>
          </w:tcPr>
          <w:p w14:paraId="2AC2F83A" w14:textId="2758C032" w:rsidR="00031B99" w:rsidRDefault="00894E07" w:rsidP="003828D3">
            <w:r w:rsidRPr="00894E07">
              <w:t>New Engineering Contract – Professional Services Contract</w:t>
            </w:r>
          </w:p>
        </w:tc>
      </w:tr>
      <w:tr w:rsidR="003828D3" w14:paraId="1D4AC05A" w14:textId="77777777" w:rsidTr="003828D3">
        <w:tc>
          <w:tcPr>
            <w:tcW w:w="2539" w:type="dxa"/>
          </w:tcPr>
          <w:p w14:paraId="2328E8F0" w14:textId="5B39E916" w:rsidR="003828D3" w:rsidRPr="00CA75A2" w:rsidRDefault="003828D3" w:rsidP="003828D3">
            <w:r w:rsidRPr="00CA75A2">
              <w:t>NWS</w:t>
            </w:r>
          </w:p>
        </w:tc>
        <w:tc>
          <w:tcPr>
            <w:tcW w:w="6975" w:type="dxa"/>
          </w:tcPr>
          <w:p w14:paraId="737CFEE0" w14:textId="4D501508" w:rsidR="003828D3" w:rsidRPr="00714B1E" w:rsidRDefault="003828D3" w:rsidP="003828D3">
            <w:r>
              <w:t>Nuclear Waste Services</w:t>
            </w:r>
          </w:p>
        </w:tc>
      </w:tr>
      <w:tr w:rsidR="00E60A8C" w14:paraId="5CEF790E" w14:textId="77777777" w:rsidTr="003828D3">
        <w:tc>
          <w:tcPr>
            <w:tcW w:w="2539" w:type="dxa"/>
          </w:tcPr>
          <w:p w14:paraId="3FACA4FE" w14:textId="5B793282" w:rsidR="00E60A8C" w:rsidRPr="00A73F14" w:rsidRDefault="00E60A8C" w:rsidP="00B30FE3">
            <w:r w:rsidRPr="00E60A8C">
              <w:t>PCG</w:t>
            </w:r>
          </w:p>
        </w:tc>
        <w:tc>
          <w:tcPr>
            <w:tcW w:w="6975" w:type="dxa"/>
          </w:tcPr>
          <w:p w14:paraId="5D428B86" w14:textId="6623543F" w:rsidR="00E60A8C" w:rsidRPr="00532C6C" w:rsidRDefault="00E60A8C" w:rsidP="00B30FE3">
            <w:r w:rsidRPr="00E60A8C">
              <w:t xml:space="preserve">Parent Company Guarantee </w:t>
            </w:r>
          </w:p>
        </w:tc>
      </w:tr>
      <w:tr w:rsidR="009F1F0A" w14:paraId="02FF8293" w14:textId="77777777" w:rsidTr="003828D3">
        <w:tc>
          <w:tcPr>
            <w:tcW w:w="2539" w:type="dxa"/>
          </w:tcPr>
          <w:p w14:paraId="208D2CCC" w14:textId="004FA51D" w:rsidR="009F1F0A" w:rsidRPr="00A73F14" w:rsidRDefault="009F1F0A" w:rsidP="00B30FE3">
            <w:r w:rsidRPr="009F1F0A">
              <w:t>PCSC</w:t>
            </w:r>
          </w:p>
        </w:tc>
        <w:tc>
          <w:tcPr>
            <w:tcW w:w="6975" w:type="dxa"/>
          </w:tcPr>
          <w:p w14:paraId="62FC4568" w14:textId="70DC8AD0" w:rsidR="009F1F0A" w:rsidRPr="00532C6C" w:rsidRDefault="00AD4B6C" w:rsidP="00B30FE3">
            <w:r w:rsidRPr="00AD4B6C">
              <w:t>Post Closure Safety Case</w:t>
            </w:r>
          </w:p>
        </w:tc>
      </w:tr>
      <w:tr w:rsidR="00A73F14" w14:paraId="5C5CF798" w14:textId="77777777" w:rsidTr="003828D3">
        <w:tc>
          <w:tcPr>
            <w:tcW w:w="2539" w:type="dxa"/>
          </w:tcPr>
          <w:p w14:paraId="35D18A74" w14:textId="1CCB83CD" w:rsidR="00A73F14" w:rsidRPr="00A73F14" w:rsidRDefault="00A73F14" w:rsidP="00B30FE3">
            <w:r w:rsidRPr="00A73F14">
              <w:t>PSC</w:t>
            </w:r>
          </w:p>
        </w:tc>
        <w:tc>
          <w:tcPr>
            <w:tcW w:w="6975" w:type="dxa"/>
          </w:tcPr>
          <w:p w14:paraId="42B95E21" w14:textId="7430005C" w:rsidR="00A73F14" w:rsidRDefault="00532C6C" w:rsidP="00B30FE3">
            <w:r w:rsidRPr="00532C6C">
              <w:t>Professional Services Contract</w:t>
            </w:r>
          </w:p>
        </w:tc>
      </w:tr>
      <w:tr w:rsidR="00B30FE3" w14:paraId="1EBF2CF6" w14:textId="77777777" w:rsidTr="003828D3">
        <w:tc>
          <w:tcPr>
            <w:tcW w:w="2539" w:type="dxa"/>
          </w:tcPr>
          <w:p w14:paraId="469A8ABF" w14:textId="1AAA9F41" w:rsidR="00B30FE3" w:rsidRPr="00CA75A2" w:rsidRDefault="00B30FE3" w:rsidP="00B30FE3">
            <w:r w:rsidRPr="00CA75A2">
              <w:t>SCDP</w:t>
            </w:r>
          </w:p>
        </w:tc>
        <w:tc>
          <w:tcPr>
            <w:tcW w:w="6975" w:type="dxa"/>
          </w:tcPr>
          <w:p w14:paraId="31C99E00" w14:textId="1EAC318B" w:rsidR="00B30FE3" w:rsidRDefault="00B30FE3" w:rsidP="00B30FE3">
            <w:r>
              <w:t>Site Characterisation Delivery Partner</w:t>
            </w:r>
          </w:p>
        </w:tc>
      </w:tr>
      <w:tr w:rsidR="009F1F0A" w14:paraId="59E89A92" w14:textId="77777777" w:rsidTr="003828D3">
        <w:tc>
          <w:tcPr>
            <w:tcW w:w="2539" w:type="dxa"/>
          </w:tcPr>
          <w:p w14:paraId="40EFB222" w14:textId="0DDC9350" w:rsidR="009F1F0A" w:rsidRPr="009F1F0A" w:rsidRDefault="009F1F0A" w:rsidP="00B30FE3">
            <w:r>
              <w:t>SDM</w:t>
            </w:r>
          </w:p>
        </w:tc>
        <w:tc>
          <w:tcPr>
            <w:tcW w:w="6975" w:type="dxa"/>
          </w:tcPr>
          <w:p w14:paraId="46919407" w14:textId="5D8A6E4C" w:rsidR="009F1F0A" w:rsidRPr="00AF58EE" w:rsidRDefault="005E44F4" w:rsidP="00B30FE3">
            <w:r w:rsidRPr="005E44F4">
              <w:t>Site Descriptive Model</w:t>
            </w:r>
          </w:p>
        </w:tc>
      </w:tr>
      <w:tr w:rsidR="00A66945" w14:paraId="15F711BF" w14:textId="77777777" w:rsidTr="003828D3">
        <w:tc>
          <w:tcPr>
            <w:tcW w:w="2539" w:type="dxa"/>
          </w:tcPr>
          <w:p w14:paraId="6EAF9E0D" w14:textId="6D1E2A44" w:rsidR="00A66945" w:rsidRPr="00CA75A2" w:rsidRDefault="00A66945" w:rsidP="00B30FE3">
            <w:r w:rsidRPr="00CA75A2">
              <w:t>SFI</w:t>
            </w:r>
          </w:p>
        </w:tc>
        <w:tc>
          <w:tcPr>
            <w:tcW w:w="6975" w:type="dxa"/>
          </w:tcPr>
          <w:p w14:paraId="624F442B" w14:textId="59BC6993" w:rsidR="00A66945" w:rsidDel="00B30FE3" w:rsidRDefault="00AF58EE" w:rsidP="00B30FE3">
            <w:r w:rsidRPr="00AF58EE">
              <w:t>Self-Funded Incentive</w:t>
            </w:r>
          </w:p>
        </w:tc>
      </w:tr>
      <w:tr w:rsidR="00956784" w14:paraId="034358A7" w14:textId="77777777" w:rsidTr="003828D3">
        <w:tc>
          <w:tcPr>
            <w:tcW w:w="2539" w:type="dxa"/>
          </w:tcPr>
          <w:p w14:paraId="471B5CF5" w14:textId="5E502107" w:rsidR="00956784" w:rsidRPr="00A66945" w:rsidRDefault="00956784" w:rsidP="00B30FE3">
            <w:r w:rsidRPr="00956784">
              <w:t>SME</w:t>
            </w:r>
          </w:p>
        </w:tc>
        <w:tc>
          <w:tcPr>
            <w:tcW w:w="6975" w:type="dxa"/>
          </w:tcPr>
          <w:p w14:paraId="7FC9FEDD" w14:textId="633E1276" w:rsidR="00956784" w:rsidRPr="00A66945" w:rsidRDefault="00956784" w:rsidP="00B30FE3">
            <w:r>
              <w:t>Subject Matter Expert</w:t>
            </w:r>
          </w:p>
        </w:tc>
      </w:tr>
      <w:tr w:rsidR="00573456" w14:paraId="250ECD14" w14:textId="77777777" w:rsidTr="003828D3">
        <w:tc>
          <w:tcPr>
            <w:tcW w:w="2539" w:type="dxa"/>
          </w:tcPr>
          <w:p w14:paraId="21B4AC1C" w14:textId="6962E718" w:rsidR="00573456" w:rsidRPr="00A66945" w:rsidRDefault="00573456" w:rsidP="00B30FE3">
            <w:r w:rsidRPr="00573456">
              <w:t>T's&amp;C's</w:t>
            </w:r>
          </w:p>
        </w:tc>
        <w:tc>
          <w:tcPr>
            <w:tcW w:w="6975" w:type="dxa"/>
          </w:tcPr>
          <w:p w14:paraId="2B3B829F" w14:textId="6B2E182C" w:rsidR="00573456" w:rsidRPr="00A66945" w:rsidRDefault="00573456" w:rsidP="00B30FE3">
            <w:r>
              <w:t>Terms &amp; Conditions</w:t>
            </w:r>
          </w:p>
        </w:tc>
      </w:tr>
      <w:tr w:rsidR="00B30FE3" w14:paraId="05446669" w14:textId="77777777" w:rsidTr="003828D3">
        <w:tc>
          <w:tcPr>
            <w:tcW w:w="2539" w:type="dxa"/>
          </w:tcPr>
          <w:p w14:paraId="58B70160" w14:textId="7316C8A2" w:rsidR="00B30FE3" w:rsidRPr="00CA75A2" w:rsidRDefault="00A66945" w:rsidP="00B30FE3">
            <w:r w:rsidRPr="00A66945">
              <w:t>TLIs</w:t>
            </w:r>
          </w:p>
        </w:tc>
        <w:tc>
          <w:tcPr>
            <w:tcW w:w="6975" w:type="dxa"/>
          </w:tcPr>
          <w:p w14:paraId="7FBCB3A3" w14:textId="4C1BDA86" w:rsidR="00B30FE3" w:rsidRPr="00714B1E" w:rsidRDefault="00A66945" w:rsidP="00B30FE3">
            <w:r w:rsidRPr="00A66945">
              <w:t xml:space="preserve">Task Level Indicators </w:t>
            </w:r>
          </w:p>
        </w:tc>
      </w:tr>
    </w:tbl>
    <w:p w14:paraId="69C558C7" w14:textId="7E11A9BD" w:rsidR="00E52062" w:rsidRDefault="00E52062" w:rsidP="002A3DE1"/>
    <w:p w14:paraId="22FF162D" w14:textId="77777777" w:rsidR="0083177C" w:rsidRDefault="0083177C" w:rsidP="002A3DE1"/>
    <w:p w14:paraId="0D492F27" w14:textId="77777777" w:rsidR="0083177C" w:rsidRDefault="0083177C" w:rsidP="002A3DE1"/>
    <w:p w14:paraId="3A00225A" w14:textId="77777777" w:rsidR="0083177C" w:rsidRDefault="0083177C" w:rsidP="002A3DE1"/>
    <w:p w14:paraId="5F7734BF" w14:textId="77777777" w:rsidR="0083177C" w:rsidRDefault="0083177C" w:rsidP="002A3DE1"/>
    <w:p w14:paraId="6ECE97D9" w14:textId="3A5F0165" w:rsidR="00832D12" w:rsidRPr="001A2998" w:rsidRDefault="00832D12" w:rsidP="001A2998">
      <w:r w:rsidRPr="00BE5982">
        <w:br w:type="page"/>
      </w:r>
    </w:p>
    <w:p w14:paraId="78B156AC" w14:textId="431F78FA" w:rsidR="00DF398B" w:rsidRDefault="00275E9E" w:rsidP="00275E9E">
      <w:pPr>
        <w:pStyle w:val="Heading11"/>
      </w:pPr>
      <w:bookmarkStart w:id="3" w:name="_Toc202532927"/>
      <w:bookmarkEnd w:id="2"/>
      <w:r w:rsidRPr="00275E9E">
        <w:t>SCDP Market Engagements</w:t>
      </w:r>
      <w:bookmarkEnd w:id="3"/>
    </w:p>
    <w:p w14:paraId="3950EA0E" w14:textId="0560C155" w:rsidR="00C52B43" w:rsidRDefault="00C52B43" w:rsidP="00C52B43">
      <w:r>
        <w:t>The purpose of this document is to summarise</w:t>
      </w:r>
      <w:r w:rsidR="00F702D1">
        <w:t xml:space="preserve"> the</w:t>
      </w:r>
      <w:r>
        <w:t xml:space="preserve"> four Market Engagements relating to the Site Characterisation Delivery Partner (SCDP) contract opportunity that took that place between Nuclear Waste Services Limited (the Client</w:t>
      </w:r>
      <w:r w:rsidR="00F702D1">
        <w:t xml:space="preserve"> or NWS</w:t>
      </w:r>
      <w:r>
        <w:t>) and interested organisations. The document focuses particularly on the feedback obtained from the market on the proposed delivery models, contractual principles, scope and other matters and how this feedback was incorporated into evolving SCDP commercial strategy.</w:t>
      </w:r>
    </w:p>
    <w:p w14:paraId="702FFBF7" w14:textId="1F496704" w:rsidR="00C52B43" w:rsidRDefault="00C52B43" w:rsidP="00C52B43">
      <w:r>
        <w:t>Each of the engagements has provided feedback to NWS and helped NWS shape the strategy for the procurement and the contract. The intention is to continue market engagement, sharing the latest versions of documents for comment and feedback. There will be an opportunity for all suppliers looking to bid to have a 1:1 half day session with NWS, this is currently pencilled in for the week</w:t>
      </w:r>
      <w:r w:rsidR="00276150">
        <w:t xml:space="preserve"> commencing 8th</w:t>
      </w:r>
      <w:r>
        <w:t xml:space="preserve"> September (further details will be posted on our web page).</w:t>
      </w:r>
    </w:p>
    <w:p w14:paraId="78D6541D" w14:textId="0669F9D2" w:rsidR="00275E9E" w:rsidRDefault="00C52B43" w:rsidP="00C52B43">
      <w:r>
        <w:t>NWS shall continue to develop the tender and contract documents including but not limited to the scope, draft technical questions (both for I</w:t>
      </w:r>
      <w:r w:rsidR="00902A94">
        <w:t xml:space="preserve">nvitation </w:t>
      </w:r>
      <w:r w:rsidR="00285543">
        <w:t xml:space="preserve">to </w:t>
      </w:r>
      <w:r>
        <w:t>P</w:t>
      </w:r>
      <w:r w:rsidR="00285543">
        <w:t>articipate (ITP)</w:t>
      </w:r>
      <w:r>
        <w:t xml:space="preserve"> and I</w:t>
      </w:r>
      <w:r w:rsidR="00285543">
        <w:t xml:space="preserve">nvitation to </w:t>
      </w:r>
      <w:r>
        <w:t>T</w:t>
      </w:r>
      <w:r w:rsidR="00285543">
        <w:t>ender (ITT)</w:t>
      </w:r>
      <w:r>
        <w:t xml:space="preserve"> stages) scoring criteria (both for ITP and ITT stages), guidance documents, and shall make these available on our web page up to the point of</w:t>
      </w:r>
      <w:r w:rsidR="00E60DA8">
        <w:t xml:space="preserve"> issuing the</w:t>
      </w:r>
      <w:r>
        <w:t xml:space="preserve"> Tender Notice.</w:t>
      </w:r>
    </w:p>
    <w:p w14:paraId="187B7007" w14:textId="77777777" w:rsidR="00E60DA8" w:rsidRDefault="00E60DA8" w:rsidP="00C52B43"/>
    <w:p w14:paraId="683212EE" w14:textId="669FE22D" w:rsidR="00E60DA8" w:rsidRDefault="00E60DA8" w:rsidP="00C52B43">
      <w:r>
        <w:t>Please note: the positions set out within the document are subject to change following market engagement and internal discussions.</w:t>
      </w:r>
    </w:p>
    <w:p w14:paraId="23674778" w14:textId="2436E83A" w:rsidR="00477544" w:rsidRPr="00477544" w:rsidRDefault="007149EB" w:rsidP="00CA75A2">
      <w:pPr>
        <w:pStyle w:val="Heading11"/>
      </w:pPr>
      <w:bookmarkStart w:id="4" w:name="_Toc202532928"/>
      <w:bookmarkStart w:id="5" w:name="_Toc181362257"/>
      <w:r w:rsidRPr="007149EB">
        <w:t xml:space="preserve">Market Engagement: 1-2-1 </w:t>
      </w:r>
      <w:r w:rsidR="008D49DA">
        <w:t>E</w:t>
      </w:r>
      <w:r w:rsidRPr="007149EB">
        <w:t xml:space="preserve">ngagement </w:t>
      </w:r>
      <w:r w:rsidR="008D49DA">
        <w:t>S</w:t>
      </w:r>
      <w:r w:rsidRPr="007149EB">
        <w:t>essions</w:t>
      </w:r>
      <w:r w:rsidR="008D49DA">
        <w:t xml:space="preserve"> 2023</w:t>
      </w:r>
      <w:bookmarkEnd w:id="4"/>
      <w:bookmarkEnd w:id="5"/>
    </w:p>
    <w:p w14:paraId="14F03DA8" w14:textId="77777777" w:rsidR="007C5C4E" w:rsidRDefault="007C5C4E" w:rsidP="007C5C4E">
      <w:r>
        <w:t>Date of Market Engagement: between July 2023 and October 2023</w:t>
      </w:r>
    </w:p>
    <w:p w14:paraId="5F7A1738" w14:textId="77777777" w:rsidR="007C5C4E" w:rsidRDefault="007C5C4E" w:rsidP="007C5C4E">
      <w:r>
        <w:t xml:space="preserve">Location of Market Engagement: Harwell </w:t>
      </w:r>
    </w:p>
    <w:p w14:paraId="69D99A3B" w14:textId="77777777" w:rsidR="007C5C4E" w:rsidRDefault="007C5C4E" w:rsidP="007C5C4E">
      <w:r w:rsidRPr="007849F5">
        <w:t>NWS Attendees: Andrew Batstone, Chris Eldred, Owen David, Piotr Bednarski, Fiona McEvoy, Robert McLaverty, Jason Canning</w:t>
      </w:r>
    </w:p>
    <w:p w14:paraId="5BFEAFEF" w14:textId="77777777" w:rsidR="007C5C4E" w:rsidRDefault="007C5C4E" w:rsidP="007C5C4E">
      <w:r>
        <w:t>How organisations were invited: PIN Notice ref: 2023-910047</w:t>
      </w:r>
    </w:p>
    <w:p w14:paraId="43AA7F79" w14:textId="54B0503F" w:rsidR="007149EB" w:rsidRPr="00CA75A2" w:rsidRDefault="007C5C4E" w:rsidP="007C5C4E">
      <w:r>
        <w:t>Documents circulated prior to the meetings:</w:t>
      </w:r>
    </w:p>
    <w:p w14:paraId="6827BA1B" w14:textId="5A31045A" w:rsidR="00964C64" w:rsidRDefault="00964C64" w:rsidP="00CA75A2">
      <w:pPr>
        <w:pStyle w:val="ListParagraph"/>
        <w:numPr>
          <w:ilvl w:val="0"/>
          <w:numId w:val="23"/>
        </w:numPr>
        <w:ind w:left="714" w:hanging="357"/>
        <w:contextualSpacing w:val="0"/>
      </w:pPr>
      <w:r>
        <w:t>Prior Information Notice (PIN) - SCDP Services and Works - Issue version - 4.4.23</w:t>
      </w:r>
    </w:p>
    <w:p w14:paraId="571B93F8" w14:textId="6F30A116" w:rsidR="00964C64" w:rsidRDefault="00964C64" w:rsidP="00CA75A2">
      <w:pPr>
        <w:pStyle w:val="ListParagraph"/>
        <w:numPr>
          <w:ilvl w:val="0"/>
          <w:numId w:val="23"/>
        </w:numPr>
        <w:ind w:left="714" w:hanging="357"/>
        <w:contextualSpacing w:val="0"/>
      </w:pPr>
      <w:r>
        <w:t>Site Characterisation Delivery Partner Market Engagement – Briefing Document</w:t>
      </w:r>
    </w:p>
    <w:p w14:paraId="27FB493E" w14:textId="4E5E1D12" w:rsidR="007149EB" w:rsidRPr="00CA75A2" w:rsidRDefault="00964C64" w:rsidP="00CA75A2">
      <w:pPr>
        <w:pStyle w:val="ListParagraph"/>
        <w:numPr>
          <w:ilvl w:val="0"/>
          <w:numId w:val="23"/>
        </w:numPr>
        <w:ind w:left="714" w:hanging="357"/>
        <w:contextualSpacing w:val="0"/>
      </w:pPr>
      <w:r>
        <w:t>SCDP PIN Supplier Communications Register - Issue version to supply chain</w:t>
      </w:r>
    </w:p>
    <w:tbl>
      <w:tblPr>
        <w:tblStyle w:val="TableGrid7"/>
        <w:tblW w:w="10060" w:type="dxa"/>
        <w:jc w:val="center"/>
        <w:tblLook w:val="04A0" w:firstRow="1" w:lastRow="0" w:firstColumn="1" w:lastColumn="0" w:noHBand="0" w:noVBand="1"/>
      </w:tblPr>
      <w:tblGrid>
        <w:gridCol w:w="5098"/>
        <w:gridCol w:w="4962"/>
      </w:tblGrid>
      <w:tr w:rsidR="006A19CA" w:rsidRPr="006A19CA" w14:paraId="1C16BA9E" w14:textId="77777777" w:rsidTr="00CA75A2">
        <w:trPr>
          <w:tblHeader/>
          <w:jc w:val="center"/>
        </w:trPr>
        <w:tc>
          <w:tcPr>
            <w:tcW w:w="5098" w:type="dxa"/>
            <w:shd w:val="clear" w:color="auto" w:fill="004846"/>
            <w:vAlign w:val="center"/>
          </w:tcPr>
          <w:p w14:paraId="4005B1D3" w14:textId="5681E97C" w:rsidR="006A19CA" w:rsidRPr="00CA75A2" w:rsidRDefault="006A19CA" w:rsidP="00CA75A2">
            <w:pPr>
              <w:jc w:val="center"/>
              <w:rPr>
                <w:rFonts w:cs="Arial"/>
                <w:b/>
                <w:bCs/>
                <w:szCs w:val="22"/>
              </w:rPr>
            </w:pPr>
            <w:r w:rsidRPr="00CA75A2">
              <w:rPr>
                <w:rFonts w:cs="Arial"/>
                <w:b/>
                <w:bCs/>
                <w:szCs w:val="22"/>
              </w:rPr>
              <w:t>Market Engagement Discussion Topic</w:t>
            </w:r>
          </w:p>
        </w:tc>
        <w:tc>
          <w:tcPr>
            <w:tcW w:w="4962" w:type="dxa"/>
            <w:shd w:val="clear" w:color="auto" w:fill="004846"/>
            <w:vAlign w:val="center"/>
          </w:tcPr>
          <w:p w14:paraId="3583CB30" w14:textId="77777777" w:rsidR="006A19CA" w:rsidRPr="00CA75A2" w:rsidRDefault="006A19CA" w:rsidP="00CA75A2">
            <w:pPr>
              <w:jc w:val="center"/>
              <w:rPr>
                <w:rFonts w:cs="Arial"/>
                <w:b/>
                <w:bCs/>
                <w:szCs w:val="22"/>
              </w:rPr>
            </w:pPr>
            <w:r w:rsidRPr="00CA75A2">
              <w:rPr>
                <w:rFonts w:cs="Arial"/>
                <w:b/>
                <w:bCs/>
                <w:szCs w:val="22"/>
              </w:rPr>
              <w:t>Market Feedback</w:t>
            </w:r>
          </w:p>
        </w:tc>
      </w:tr>
      <w:tr w:rsidR="006A19CA" w:rsidRPr="006A19CA" w14:paraId="65622F9E" w14:textId="77777777" w:rsidTr="00CA75A2">
        <w:trPr>
          <w:jc w:val="center"/>
        </w:trPr>
        <w:tc>
          <w:tcPr>
            <w:tcW w:w="5098" w:type="dxa"/>
          </w:tcPr>
          <w:p w14:paraId="2F02127F" w14:textId="77777777" w:rsidR="006A19CA" w:rsidRPr="00CA75A2" w:rsidRDefault="006A19CA" w:rsidP="00CA75A2">
            <w:pPr>
              <w:spacing w:before="60" w:after="60"/>
              <w:rPr>
                <w:rFonts w:cs="Arial"/>
                <w:sz w:val="20"/>
                <w:szCs w:val="20"/>
              </w:rPr>
            </w:pPr>
            <w:r w:rsidRPr="00CA75A2">
              <w:rPr>
                <w:rFonts w:cs="Arial"/>
                <w:sz w:val="20"/>
                <w:szCs w:val="20"/>
                <w:lang w:eastAsia="en-GB"/>
              </w:rPr>
              <w:t>Market Dynamics, Capacity and Capability to deliver the works</w:t>
            </w:r>
          </w:p>
        </w:tc>
        <w:tc>
          <w:tcPr>
            <w:tcW w:w="4962" w:type="dxa"/>
          </w:tcPr>
          <w:p w14:paraId="0BDE2C9D" w14:textId="17829DE5" w:rsidR="006A19CA" w:rsidRPr="00CA75A2" w:rsidRDefault="006A19CA" w:rsidP="00CA75A2">
            <w:pPr>
              <w:spacing w:before="60" w:after="60"/>
              <w:rPr>
                <w:rFonts w:cs="Arial"/>
                <w:sz w:val="20"/>
                <w:szCs w:val="20"/>
              </w:rPr>
            </w:pPr>
            <w:r w:rsidRPr="00CA75A2">
              <w:rPr>
                <w:rFonts w:cs="Arial"/>
                <w:sz w:val="20"/>
                <w:szCs w:val="20"/>
              </w:rPr>
              <w:t>Statements where their expertise sits and which role they are interested to take on (leading or supporting). Overall market believed that a few consortia are likely to emerge for SCDP.</w:t>
            </w:r>
          </w:p>
        </w:tc>
      </w:tr>
      <w:tr w:rsidR="006A19CA" w:rsidRPr="006A19CA" w14:paraId="15AF10CB" w14:textId="77777777" w:rsidTr="00CA75A2">
        <w:trPr>
          <w:jc w:val="center"/>
        </w:trPr>
        <w:tc>
          <w:tcPr>
            <w:tcW w:w="5098" w:type="dxa"/>
          </w:tcPr>
          <w:p w14:paraId="0B9F02CB" w14:textId="490CC32C" w:rsidR="006A19CA" w:rsidRPr="00CA75A2" w:rsidRDefault="006A19CA" w:rsidP="00CA75A2">
            <w:pPr>
              <w:spacing w:before="60" w:after="60"/>
              <w:rPr>
                <w:rFonts w:cs="Arial"/>
                <w:sz w:val="20"/>
                <w:szCs w:val="20"/>
                <w:lang w:eastAsia="en-GB"/>
              </w:rPr>
            </w:pPr>
            <w:r w:rsidRPr="00CA75A2">
              <w:rPr>
                <w:rFonts w:cs="Arial"/>
                <w:sz w:val="20"/>
                <w:szCs w:val="20"/>
                <w:lang w:eastAsia="en-GB"/>
              </w:rPr>
              <w:t>Gaps and threats to project delivery, Technical Challenges and Resourcing</w:t>
            </w:r>
          </w:p>
        </w:tc>
        <w:tc>
          <w:tcPr>
            <w:tcW w:w="4962" w:type="dxa"/>
          </w:tcPr>
          <w:p w14:paraId="6E3AD181" w14:textId="77777777" w:rsidR="006A19CA" w:rsidRPr="00CA75A2" w:rsidRDefault="006A19CA" w:rsidP="00CA75A2">
            <w:pPr>
              <w:spacing w:before="60" w:after="60"/>
              <w:rPr>
                <w:rFonts w:cs="Arial"/>
                <w:sz w:val="20"/>
                <w:szCs w:val="20"/>
              </w:rPr>
            </w:pPr>
            <w:r w:rsidRPr="00CA75A2">
              <w:rPr>
                <w:rFonts w:cs="Arial"/>
                <w:sz w:val="20"/>
                <w:szCs w:val="20"/>
              </w:rPr>
              <w:t xml:space="preserve">Some of the challenges mentioned included: </w:t>
            </w:r>
          </w:p>
          <w:p w14:paraId="618435B1" w14:textId="77777777" w:rsidR="006A19CA" w:rsidRPr="00CA75A2" w:rsidRDefault="006A19CA" w:rsidP="00CA75A2">
            <w:pPr>
              <w:numPr>
                <w:ilvl w:val="0"/>
                <w:numId w:val="24"/>
              </w:numPr>
              <w:spacing w:before="60" w:after="60"/>
              <w:rPr>
                <w:rFonts w:cs="Arial"/>
                <w:sz w:val="20"/>
                <w:szCs w:val="20"/>
              </w:rPr>
            </w:pPr>
            <w:r w:rsidRPr="00CA75A2">
              <w:rPr>
                <w:rFonts w:cs="Arial"/>
                <w:sz w:val="20"/>
                <w:szCs w:val="20"/>
              </w:rPr>
              <w:t>clearly defining integrations and dependencies</w:t>
            </w:r>
          </w:p>
          <w:p w14:paraId="280CB153" w14:textId="77777777" w:rsidR="006A19CA" w:rsidRPr="00CA75A2" w:rsidRDefault="006A19CA" w:rsidP="00CA75A2">
            <w:pPr>
              <w:numPr>
                <w:ilvl w:val="0"/>
                <w:numId w:val="24"/>
              </w:numPr>
              <w:spacing w:before="60" w:after="60"/>
              <w:rPr>
                <w:rFonts w:cs="Arial"/>
                <w:sz w:val="20"/>
                <w:szCs w:val="20"/>
              </w:rPr>
            </w:pPr>
            <w:r w:rsidRPr="00CA75A2">
              <w:rPr>
                <w:rFonts w:cs="Arial"/>
                <w:sz w:val="20"/>
                <w:szCs w:val="20"/>
              </w:rPr>
              <w:t>use of capabilities from different industries</w:t>
            </w:r>
          </w:p>
          <w:p w14:paraId="09FB97D2" w14:textId="77777777" w:rsidR="006A19CA" w:rsidRPr="00CA75A2" w:rsidRDefault="006A19CA" w:rsidP="00CA75A2">
            <w:pPr>
              <w:numPr>
                <w:ilvl w:val="0"/>
                <w:numId w:val="24"/>
              </w:numPr>
              <w:spacing w:before="60" w:after="60"/>
              <w:rPr>
                <w:rFonts w:cs="Arial"/>
                <w:sz w:val="20"/>
                <w:szCs w:val="20"/>
              </w:rPr>
            </w:pPr>
            <w:r w:rsidRPr="00CA75A2">
              <w:rPr>
                <w:rFonts w:cs="Arial"/>
                <w:sz w:val="20"/>
                <w:szCs w:val="20"/>
              </w:rPr>
              <w:t>availability of resources security aspects regarding international expertise</w:t>
            </w:r>
          </w:p>
          <w:p w14:paraId="13FBFE87" w14:textId="77777777" w:rsidR="006A19CA" w:rsidRPr="00CA75A2" w:rsidRDefault="006A19CA" w:rsidP="00CA75A2">
            <w:pPr>
              <w:numPr>
                <w:ilvl w:val="0"/>
                <w:numId w:val="24"/>
              </w:numPr>
              <w:spacing w:before="60" w:after="60"/>
              <w:rPr>
                <w:rFonts w:cs="Arial"/>
                <w:sz w:val="20"/>
                <w:szCs w:val="20"/>
              </w:rPr>
            </w:pPr>
            <w:r w:rsidRPr="00CA75A2">
              <w:rPr>
                <w:rFonts w:cs="Arial"/>
                <w:sz w:val="20"/>
                <w:szCs w:val="20"/>
              </w:rPr>
              <w:t xml:space="preserve">preservation and processing a significant volume of data </w:t>
            </w:r>
          </w:p>
          <w:p w14:paraId="45602D1A" w14:textId="77777777" w:rsidR="006A19CA" w:rsidRPr="00CA75A2" w:rsidRDefault="006A19CA" w:rsidP="00CA75A2">
            <w:pPr>
              <w:numPr>
                <w:ilvl w:val="0"/>
                <w:numId w:val="24"/>
              </w:numPr>
              <w:spacing w:before="60" w:after="60"/>
              <w:rPr>
                <w:rFonts w:cs="Arial"/>
                <w:sz w:val="20"/>
                <w:szCs w:val="20"/>
              </w:rPr>
            </w:pPr>
            <w:r w:rsidRPr="00CA75A2">
              <w:rPr>
                <w:rFonts w:cs="Arial"/>
                <w:sz w:val="20"/>
                <w:szCs w:val="20"/>
              </w:rPr>
              <w:t>variability in the drilling rig market</w:t>
            </w:r>
          </w:p>
        </w:tc>
      </w:tr>
      <w:tr w:rsidR="006A19CA" w:rsidRPr="006A19CA" w14:paraId="35DB4044" w14:textId="77777777" w:rsidTr="00CA75A2">
        <w:trPr>
          <w:jc w:val="center"/>
        </w:trPr>
        <w:tc>
          <w:tcPr>
            <w:tcW w:w="5098" w:type="dxa"/>
          </w:tcPr>
          <w:p w14:paraId="7824071F" w14:textId="77777777" w:rsidR="006A19CA" w:rsidRPr="00CA75A2" w:rsidRDefault="006A19CA" w:rsidP="00CA75A2">
            <w:pPr>
              <w:spacing w:before="60" w:after="60"/>
              <w:rPr>
                <w:rFonts w:cs="Arial"/>
                <w:sz w:val="20"/>
                <w:szCs w:val="20"/>
              </w:rPr>
            </w:pPr>
            <w:r w:rsidRPr="00CA75A2">
              <w:rPr>
                <w:rFonts w:cs="Arial"/>
                <w:sz w:val="20"/>
                <w:szCs w:val="20"/>
                <w:lang w:eastAsia="en-GB"/>
              </w:rPr>
              <w:t>Working as part of an Alliance, threats and Opportunities</w:t>
            </w:r>
          </w:p>
        </w:tc>
        <w:tc>
          <w:tcPr>
            <w:tcW w:w="4962" w:type="dxa"/>
          </w:tcPr>
          <w:p w14:paraId="33ED68D3" w14:textId="56BC16B8" w:rsidR="006A19CA" w:rsidRPr="00CA75A2" w:rsidRDefault="006A19CA" w:rsidP="00CA75A2">
            <w:pPr>
              <w:spacing w:before="60" w:after="60"/>
              <w:rPr>
                <w:rFonts w:cs="Arial"/>
                <w:sz w:val="20"/>
                <w:szCs w:val="20"/>
              </w:rPr>
            </w:pPr>
            <w:r w:rsidRPr="00CA75A2">
              <w:rPr>
                <w:rFonts w:cs="Arial"/>
                <w:sz w:val="20"/>
                <w:szCs w:val="20"/>
              </w:rPr>
              <w:t>In general, market was supportive of the Alliance model. As opportunities increased collaboration, consistency, long term relationship and alignment were stated. Threats included lack of clarity and accountability of each partner, share of risks (general for all parties or party specific), lack of clear governance, inequality in cost benefits rations.</w:t>
            </w:r>
          </w:p>
        </w:tc>
      </w:tr>
      <w:tr w:rsidR="006A19CA" w:rsidRPr="006A19CA" w14:paraId="5A242175" w14:textId="77777777" w:rsidTr="00CA75A2">
        <w:trPr>
          <w:jc w:val="center"/>
        </w:trPr>
        <w:tc>
          <w:tcPr>
            <w:tcW w:w="5098" w:type="dxa"/>
          </w:tcPr>
          <w:p w14:paraId="373D53D6" w14:textId="77777777" w:rsidR="006A19CA" w:rsidRPr="00CA75A2" w:rsidRDefault="006A19CA" w:rsidP="00CA75A2">
            <w:pPr>
              <w:spacing w:before="60" w:after="60"/>
              <w:rPr>
                <w:rFonts w:cs="Arial"/>
                <w:sz w:val="20"/>
                <w:szCs w:val="20"/>
              </w:rPr>
            </w:pPr>
            <w:r w:rsidRPr="00CA75A2">
              <w:rPr>
                <w:rFonts w:cs="Arial"/>
                <w:sz w:val="20"/>
                <w:szCs w:val="20"/>
                <w:lang w:eastAsia="en-GB"/>
              </w:rPr>
              <w:t>Overall structure of SC delivery, NWS prime and SCDP core capability and supply chain</w:t>
            </w:r>
          </w:p>
        </w:tc>
        <w:tc>
          <w:tcPr>
            <w:tcW w:w="4962" w:type="dxa"/>
          </w:tcPr>
          <w:p w14:paraId="33CCFD74" w14:textId="63CFC6C4" w:rsidR="006A19CA" w:rsidRPr="00CA75A2" w:rsidRDefault="006A19CA" w:rsidP="00CA75A2">
            <w:pPr>
              <w:spacing w:before="60" w:after="60"/>
              <w:rPr>
                <w:rFonts w:cs="Arial"/>
                <w:sz w:val="20"/>
                <w:szCs w:val="20"/>
              </w:rPr>
            </w:pPr>
            <w:r w:rsidRPr="00CA75A2">
              <w:rPr>
                <w:rFonts w:cs="Arial"/>
                <w:sz w:val="20"/>
                <w:szCs w:val="20"/>
              </w:rPr>
              <w:t xml:space="preserve">The market emphasised a need for having governance structure with levels of delegated authority and approval procedures. </w:t>
            </w:r>
          </w:p>
        </w:tc>
      </w:tr>
      <w:tr w:rsidR="006A19CA" w:rsidRPr="006A19CA" w14:paraId="300FF246" w14:textId="77777777" w:rsidTr="00CA75A2">
        <w:trPr>
          <w:jc w:val="center"/>
        </w:trPr>
        <w:tc>
          <w:tcPr>
            <w:tcW w:w="5098" w:type="dxa"/>
          </w:tcPr>
          <w:p w14:paraId="372468EF" w14:textId="77777777" w:rsidR="006A19CA" w:rsidRPr="00CA75A2" w:rsidRDefault="006A19CA" w:rsidP="00CA75A2">
            <w:pPr>
              <w:spacing w:before="60" w:after="60"/>
              <w:rPr>
                <w:rFonts w:cs="Arial"/>
                <w:sz w:val="20"/>
                <w:szCs w:val="20"/>
              </w:rPr>
            </w:pPr>
            <w:r w:rsidRPr="00CA75A2">
              <w:rPr>
                <w:rFonts w:cs="Arial"/>
                <w:sz w:val="20"/>
                <w:szCs w:val="20"/>
                <w:lang w:eastAsia="en-GB"/>
              </w:rPr>
              <w:t>Contract packaging strategy, volume of contracts, lotting strategy</w:t>
            </w:r>
          </w:p>
        </w:tc>
        <w:tc>
          <w:tcPr>
            <w:tcW w:w="4962" w:type="dxa"/>
          </w:tcPr>
          <w:p w14:paraId="79A452F8" w14:textId="67109FD3" w:rsidR="006A19CA" w:rsidRPr="00CA75A2" w:rsidRDefault="006A19CA" w:rsidP="00CA75A2">
            <w:pPr>
              <w:spacing w:before="60" w:after="60"/>
              <w:rPr>
                <w:rFonts w:cs="Arial"/>
                <w:sz w:val="20"/>
                <w:szCs w:val="20"/>
              </w:rPr>
            </w:pPr>
            <w:r w:rsidRPr="00CA75A2">
              <w:rPr>
                <w:rFonts w:cs="Arial"/>
                <w:sz w:val="20"/>
                <w:szCs w:val="20"/>
              </w:rPr>
              <w:t xml:space="preserve">The market supported the proposed contract packaging strategy and were in favour of the Client appointing Drilling Contractor. It was also suggested that some of the services (e.g. casing, coring) may be better placed with Drilling Contractor. More clarity on rules regarding self-delivery and need for competition. </w:t>
            </w:r>
          </w:p>
        </w:tc>
      </w:tr>
      <w:tr w:rsidR="006A19CA" w:rsidRPr="006A19CA" w14:paraId="65345D99" w14:textId="77777777" w:rsidTr="00CA75A2">
        <w:trPr>
          <w:jc w:val="center"/>
        </w:trPr>
        <w:tc>
          <w:tcPr>
            <w:tcW w:w="5098" w:type="dxa"/>
          </w:tcPr>
          <w:p w14:paraId="6ECE3CC5" w14:textId="77777777" w:rsidR="006A19CA" w:rsidRPr="00CA75A2" w:rsidRDefault="006A19CA" w:rsidP="00CA75A2">
            <w:pPr>
              <w:spacing w:before="60" w:after="60"/>
              <w:rPr>
                <w:rFonts w:cs="Arial"/>
                <w:sz w:val="20"/>
                <w:szCs w:val="20"/>
              </w:rPr>
            </w:pPr>
            <w:r w:rsidRPr="00CA75A2">
              <w:rPr>
                <w:rFonts w:cs="Arial"/>
                <w:sz w:val="20"/>
                <w:szCs w:val="20"/>
                <w:lang w:eastAsia="en-GB"/>
              </w:rPr>
              <w:t>Aligning NEC Alliance Contract with supply chain standard contracting practice</w:t>
            </w:r>
          </w:p>
        </w:tc>
        <w:tc>
          <w:tcPr>
            <w:tcW w:w="4962" w:type="dxa"/>
          </w:tcPr>
          <w:p w14:paraId="4EEFEBC2" w14:textId="492D2684" w:rsidR="006A19CA" w:rsidRPr="00CA75A2" w:rsidRDefault="006A19CA" w:rsidP="00CA75A2">
            <w:pPr>
              <w:spacing w:before="60" w:after="60"/>
              <w:rPr>
                <w:rFonts w:cs="Arial"/>
                <w:sz w:val="20"/>
                <w:szCs w:val="20"/>
              </w:rPr>
            </w:pPr>
            <w:r w:rsidRPr="00CA75A2">
              <w:rPr>
                <w:rFonts w:cs="Arial"/>
                <w:sz w:val="20"/>
                <w:szCs w:val="20"/>
              </w:rPr>
              <w:t>Gap analysis between Logic style contract used in Oil and Gas industry was proposed. More clarity around flow down of risks and risk ownership.</w:t>
            </w:r>
          </w:p>
        </w:tc>
      </w:tr>
      <w:tr w:rsidR="006A19CA" w:rsidRPr="006A19CA" w14:paraId="4640A8DD" w14:textId="77777777" w:rsidTr="00CA75A2">
        <w:trPr>
          <w:jc w:val="center"/>
        </w:trPr>
        <w:tc>
          <w:tcPr>
            <w:tcW w:w="5098" w:type="dxa"/>
          </w:tcPr>
          <w:p w14:paraId="24F7948B" w14:textId="77777777" w:rsidR="006A19CA" w:rsidRPr="00CA75A2" w:rsidRDefault="006A19CA" w:rsidP="00CA75A2">
            <w:pPr>
              <w:spacing w:before="60" w:after="60"/>
              <w:rPr>
                <w:rFonts w:cs="Arial"/>
                <w:sz w:val="20"/>
                <w:szCs w:val="20"/>
              </w:rPr>
            </w:pPr>
            <w:r w:rsidRPr="00CA75A2">
              <w:rPr>
                <w:rFonts w:cs="Arial"/>
                <w:sz w:val="20"/>
                <w:szCs w:val="20"/>
                <w:lang w:eastAsia="en-GB"/>
              </w:rPr>
              <w:t>Contract / Delivery risk management, lead in times and critical path issues ownership and mitigation strategies</w:t>
            </w:r>
          </w:p>
        </w:tc>
        <w:tc>
          <w:tcPr>
            <w:tcW w:w="4962" w:type="dxa"/>
          </w:tcPr>
          <w:p w14:paraId="2F896DA9" w14:textId="379A7C6D" w:rsidR="006A19CA" w:rsidRPr="00CA75A2" w:rsidRDefault="006A19CA" w:rsidP="00CA75A2">
            <w:pPr>
              <w:spacing w:before="60" w:after="60"/>
              <w:rPr>
                <w:rFonts w:cs="Arial"/>
                <w:sz w:val="20"/>
                <w:szCs w:val="20"/>
              </w:rPr>
            </w:pPr>
            <w:r w:rsidRPr="00CA75A2">
              <w:rPr>
                <w:rFonts w:cs="Arial"/>
                <w:sz w:val="20"/>
                <w:szCs w:val="20"/>
              </w:rPr>
              <w:t xml:space="preserve">A formal risk registers to be released as part of a tender process was suggested with assigned owner e.g. ‘reputation’ and ‘politics’ to be retained by the Client. </w:t>
            </w:r>
          </w:p>
        </w:tc>
      </w:tr>
      <w:tr w:rsidR="006A19CA" w:rsidRPr="006A19CA" w14:paraId="6A2E8109" w14:textId="77777777" w:rsidTr="00CA75A2">
        <w:trPr>
          <w:jc w:val="center"/>
        </w:trPr>
        <w:tc>
          <w:tcPr>
            <w:tcW w:w="5098" w:type="dxa"/>
          </w:tcPr>
          <w:p w14:paraId="399AF02A" w14:textId="77777777" w:rsidR="006A19CA" w:rsidRPr="00CA75A2" w:rsidRDefault="006A19CA" w:rsidP="00CA75A2">
            <w:pPr>
              <w:spacing w:before="60" w:after="60"/>
              <w:rPr>
                <w:rFonts w:cs="Arial"/>
                <w:sz w:val="20"/>
                <w:szCs w:val="20"/>
              </w:rPr>
            </w:pPr>
            <w:r w:rsidRPr="00CA75A2">
              <w:rPr>
                <w:rFonts w:cs="Arial"/>
                <w:sz w:val="20"/>
                <w:szCs w:val="20"/>
                <w:lang w:eastAsia="en-GB"/>
              </w:rPr>
              <w:t>The competitive dialogue public sector procurement process strategy - risks and benefits</w:t>
            </w:r>
          </w:p>
        </w:tc>
        <w:tc>
          <w:tcPr>
            <w:tcW w:w="4962" w:type="dxa"/>
          </w:tcPr>
          <w:p w14:paraId="76E92B49" w14:textId="533A0ECA" w:rsidR="006A19CA" w:rsidRPr="00CA75A2" w:rsidRDefault="006A19CA" w:rsidP="00CA75A2">
            <w:pPr>
              <w:spacing w:before="60" w:after="60"/>
              <w:rPr>
                <w:rFonts w:cs="Arial"/>
                <w:sz w:val="20"/>
                <w:szCs w:val="20"/>
              </w:rPr>
            </w:pPr>
            <w:r w:rsidRPr="00CA75A2">
              <w:rPr>
                <w:rFonts w:cs="Arial"/>
                <w:sz w:val="20"/>
                <w:szCs w:val="20"/>
              </w:rPr>
              <w:t>The market stated lots of advantages competitive dialogue including possibility to optimise the bids. Among disadvantages high cost, long timescales and higher risk of legal challenges were mentioned.</w:t>
            </w:r>
          </w:p>
        </w:tc>
      </w:tr>
      <w:tr w:rsidR="006A19CA" w:rsidRPr="006A19CA" w14:paraId="27F27FB0" w14:textId="77777777" w:rsidTr="00CA75A2">
        <w:trPr>
          <w:jc w:val="center"/>
        </w:trPr>
        <w:tc>
          <w:tcPr>
            <w:tcW w:w="5098" w:type="dxa"/>
          </w:tcPr>
          <w:p w14:paraId="1519174E" w14:textId="77777777" w:rsidR="006A19CA" w:rsidRPr="00CA75A2" w:rsidRDefault="006A19CA" w:rsidP="00CA75A2">
            <w:pPr>
              <w:spacing w:before="60" w:after="60"/>
              <w:rPr>
                <w:rFonts w:cs="Arial"/>
                <w:sz w:val="20"/>
                <w:szCs w:val="20"/>
              </w:rPr>
            </w:pPr>
            <w:r w:rsidRPr="00CA75A2">
              <w:rPr>
                <w:rFonts w:cs="Arial"/>
                <w:sz w:val="20"/>
                <w:szCs w:val="20"/>
                <w:lang w:eastAsia="en-GB"/>
              </w:rPr>
              <w:t>Co-location of the Alliance supply chain and critical SC suppliers</w:t>
            </w:r>
          </w:p>
        </w:tc>
        <w:tc>
          <w:tcPr>
            <w:tcW w:w="4962" w:type="dxa"/>
          </w:tcPr>
          <w:p w14:paraId="52B2945C" w14:textId="70C6AD16" w:rsidR="006A19CA" w:rsidRPr="00CA75A2" w:rsidRDefault="006A19CA" w:rsidP="00CA75A2">
            <w:pPr>
              <w:spacing w:before="60" w:after="60"/>
              <w:rPr>
                <w:rFonts w:cs="Arial"/>
                <w:sz w:val="20"/>
                <w:szCs w:val="20"/>
              </w:rPr>
            </w:pPr>
            <w:r w:rsidRPr="00CA75A2">
              <w:rPr>
                <w:rFonts w:cs="Arial"/>
                <w:sz w:val="20"/>
                <w:szCs w:val="20"/>
              </w:rPr>
              <w:t>Clarifications around co-location requirements to be provided from the tender stage to enable to schedule and price the team mobilisation accordingly. It was suggested that the sensible approach should be taken in terms of co-location, considering carbon impact and choices to allow recruitment of the best talent.</w:t>
            </w:r>
          </w:p>
        </w:tc>
      </w:tr>
      <w:tr w:rsidR="006A19CA" w:rsidRPr="006A19CA" w14:paraId="0778D3D8" w14:textId="77777777" w:rsidTr="00CA75A2">
        <w:trPr>
          <w:jc w:val="center"/>
        </w:trPr>
        <w:tc>
          <w:tcPr>
            <w:tcW w:w="5098" w:type="dxa"/>
          </w:tcPr>
          <w:p w14:paraId="1D195CDB" w14:textId="77777777" w:rsidR="006A19CA" w:rsidRPr="00CA75A2" w:rsidRDefault="006A19CA" w:rsidP="00CA75A2">
            <w:pPr>
              <w:spacing w:before="60" w:after="60"/>
              <w:rPr>
                <w:rFonts w:cs="Arial"/>
                <w:sz w:val="20"/>
                <w:szCs w:val="20"/>
              </w:rPr>
            </w:pPr>
            <w:r w:rsidRPr="00CA75A2">
              <w:rPr>
                <w:rFonts w:cs="Arial"/>
                <w:sz w:val="20"/>
                <w:szCs w:val="20"/>
                <w:lang w:eastAsia="en-GB"/>
              </w:rPr>
              <w:t>Digital strategy and embedding digital technologies</w:t>
            </w:r>
          </w:p>
        </w:tc>
        <w:tc>
          <w:tcPr>
            <w:tcW w:w="4962" w:type="dxa"/>
          </w:tcPr>
          <w:p w14:paraId="71FCBA02" w14:textId="7FB7136C" w:rsidR="006A19CA" w:rsidRPr="00CA75A2" w:rsidRDefault="006A19CA" w:rsidP="00CA75A2">
            <w:pPr>
              <w:spacing w:before="60" w:after="60"/>
              <w:rPr>
                <w:rFonts w:cs="Arial"/>
                <w:sz w:val="20"/>
                <w:szCs w:val="20"/>
              </w:rPr>
            </w:pPr>
            <w:r w:rsidRPr="00CA75A2">
              <w:rPr>
                <w:rFonts w:cs="Arial"/>
                <w:sz w:val="20"/>
                <w:szCs w:val="20"/>
              </w:rPr>
              <w:t>The inclusion of Common Data Environment (CDE) was suggested to be included in SCDP scope. Issues around data security, access requirements, and need for access to live data be considered.</w:t>
            </w:r>
          </w:p>
        </w:tc>
      </w:tr>
      <w:tr w:rsidR="006A19CA" w:rsidRPr="006A19CA" w14:paraId="2EC3DE98" w14:textId="77777777" w:rsidTr="00CA75A2">
        <w:trPr>
          <w:jc w:val="center"/>
        </w:trPr>
        <w:tc>
          <w:tcPr>
            <w:tcW w:w="5098" w:type="dxa"/>
          </w:tcPr>
          <w:p w14:paraId="4163B559" w14:textId="77777777" w:rsidR="006A19CA" w:rsidRPr="00CA75A2" w:rsidRDefault="006A19CA" w:rsidP="00CA75A2">
            <w:pPr>
              <w:spacing w:before="60" w:after="60"/>
              <w:rPr>
                <w:rFonts w:cs="Arial"/>
                <w:sz w:val="20"/>
                <w:szCs w:val="20"/>
              </w:rPr>
            </w:pPr>
            <w:r w:rsidRPr="00CA75A2">
              <w:rPr>
                <w:rFonts w:cs="Arial"/>
                <w:sz w:val="20"/>
                <w:szCs w:val="20"/>
                <w:lang w:eastAsia="en-GB"/>
              </w:rPr>
              <w:t>Social value, sustainability, environmental and SME initiatives</w:t>
            </w:r>
          </w:p>
        </w:tc>
        <w:tc>
          <w:tcPr>
            <w:tcW w:w="4962" w:type="dxa"/>
          </w:tcPr>
          <w:p w14:paraId="56059221" w14:textId="3FD2D2C3" w:rsidR="006A19CA" w:rsidRPr="00CA75A2" w:rsidRDefault="006A19CA" w:rsidP="00CA75A2">
            <w:pPr>
              <w:spacing w:before="60" w:after="60"/>
              <w:rPr>
                <w:rFonts w:cs="Arial"/>
                <w:sz w:val="20"/>
                <w:szCs w:val="20"/>
              </w:rPr>
            </w:pPr>
            <w:r w:rsidRPr="00CA75A2">
              <w:rPr>
                <w:rFonts w:cs="Arial"/>
                <w:sz w:val="20"/>
                <w:szCs w:val="20"/>
              </w:rPr>
              <w:t>A community based social value strategy based on local needs analysis should be developed. Monetised and non-monetised SROI should be calculated and reported on. Suppliers suggested to keep social value at high level as if it is broken down into delivery of small work packages, there are often limited things the suppliers can do with a small budget.</w:t>
            </w:r>
          </w:p>
        </w:tc>
      </w:tr>
    </w:tbl>
    <w:p w14:paraId="55C6F4AE" w14:textId="3FE727CB" w:rsidR="007149EB" w:rsidRPr="00CA75A2" w:rsidRDefault="00572B7A" w:rsidP="00CA75A2">
      <w:pPr>
        <w:pStyle w:val="Caption"/>
      </w:pPr>
      <w:bookmarkStart w:id="6" w:name="_Toc202532935"/>
      <w:r>
        <w:t xml:space="preserve">Table </w:t>
      </w:r>
      <w:r w:rsidR="00A057CC">
        <w:fldChar w:fldCharType="begin"/>
      </w:r>
      <w:r w:rsidR="00A057CC">
        <w:instrText xml:space="preserve"> SEQ Table \* ARABIC </w:instrText>
      </w:r>
      <w:r w:rsidR="00A057CC">
        <w:fldChar w:fldCharType="separate"/>
      </w:r>
      <w:r w:rsidR="00A057CC">
        <w:rPr>
          <w:noProof/>
        </w:rPr>
        <w:t>1</w:t>
      </w:r>
      <w:r w:rsidR="00A057CC">
        <w:rPr>
          <w:noProof/>
        </w:rPr>
        <w:fldChar w:fldCharType="end"/>
      </w:r>
      <w:r>
        <w:t xml:space="preserve">: </w:t>
      </w:r>
      <w:r w:rsidR="00FE4BC6" w:rsidRPr="00FE4BC6">
        <w:t xml:space="preserve">Market Engagement: 1-2-1 </w:t>
      </w:r>
      <w:r w:rsidR="00A553B1">
        <w:t>E</w:t>
      </w:r>
      <w:r w:rsidR="00FE4BC6" w:rsidRPr="00FE4BC6">
        <w:t xml:space="preserve">ngagement </w:t>
      </w:r>
      <w:r w:rsidR="00A553B1">
        <w:t>S</w:t>
      </w:r>
      <w:r w:rsidR="00FE4BC6" w:rsidRPr="00FE4BC6">
        <w:t>essions</w:t>
      </w:r>
      <w:r w:rsidR="00FE4BC6">
        <w:t xml:space="preserve"> Market Feedback</w:t>
      </w:r>
      <w:r w:rsidR="00A553B1">
        <w:t xml:space="preserve"> </w:t>
      </w:r>
      <w:r w:rsidR="00A553B1" w:rsidRPr="00A553B1">
        <w:t>2023</w:t>
      </w:r>
      <w:bookmarkEnd w:id="6"/>
    </w:p>
    <w:p w14:paraId="009B42C6" w14:textId="37460E29" w:rsidR="00BC11E1" w:rsidRDefault="00BC11E1">
      <w:pPr>
        <w:spacing w:before="0" w:after="0"/>
      </w:pPr>
      <w:r>
        <w:br w:type="page"/>
      </w:r>
    </w:p>
    <w:p w14:paraId="63BED6FE" w14:textId="7169C2BE" w:rsidR="00BC3A7E" w:rsidRDefault="00BC3A7E" w:rsidP="008D49DA">
      <w:pPr>
        <w:pStyle w:val="Heading11"/>
      </w:pPr>
      <w:bookmarkStart w:id="7" w:name="_Toc202532929"/>
      <w:r w:rsidRPr="00BC3A7E">
        <w:t xml:space="preserve">Market Engagement: 1-2-1 </w:t>
      </w:r>
      <w:r w:rsidR="00A553B1">
        <w:t>E</w:t>
      </w:r>
      <w:r w:rsidRPr="00BC3A7E">
        <w:t xml:space="preserve">ngagement </w:t>
      </w:r>
      <w:r w:rsidR="00A553B1">
        <w:t>S</w:t>
      </w:r>
      <w:r w:rsidRPr="00BC3A7E">
        <w:t>essions</w:t>
      </w:r>
      <w:r w:rsidR="008D49DA">
        <w:t xml:space="preserve"> </w:t>
      </w:r>
      <w:r w:rsidR="008D49DA" w:rsidRPr="008D49DA">
        <w:t>2024</w:t>
      </w:r>
      <w:bookmarkEnd w:id="7"/>
    </w:p>
    <w:p w14:paraId="739ADF6B" w14:textId="77777777" w:rsidR="008B4CBB" w:rsidRDefault="008B4CBB" w:rsidP="008B4CBB">
      <w:r>
        <w:t>Date of Market Engagement: March and April 2024</w:t>
      </w:r>
    </w:p>
    <w:p w14:paraId="177A0ABA" w14:textId="77777777" w:rsidR="008B4CBB" w:rsidRDefault="008B4CBB" w:rsidP="008B4CBB">
      <w:r>
        <w:t>Location of Market Engagement: Birmingham and Warrington</w:t>
      </w:r>
    </w:p>
    <w:p w14:paraId="3FFA48FA" w14:textId="77777777" w:rsidR="008B4CBB" w:rsidRDefault="008B4CBB" w:rsidP="008B4CBB">
      <w:r>
        <w:t>NWS Attendees: Andrew Batstone, Chris Eldred, Owen David, Piotr Bednarski, David McDonagh, Emma Hedges</w:t>
      </w:r>
    </w:p>
    <w:p w14:paraId="7FCE7CA1" w14:textId="77777777" w:rsidR="008B4CBB" w:rsidRDefault="008B4CBB" w:rsidP="008B4CBB">
      <w:r>
        <w:t>How organisations were invited: PIN Notice ref: 2024-910050</w:t>
      </w:r>
    </w:p>
    <w:p w14:paraId="2F901637" w14:textId="77777777" w:rsidR="008B4CBB" w:rsidRDefault="008B4CBB" w:rsidP="008B4CBB">
      <w:r>
        <w:t xml:space="preserve">Documents circulated prior to the meetings: </w:t>
      </w:r>
    </w:p>
    <w:p w14:paraId="45B0FAD8" w14:textId="0D761CF0" w:rsidR="008B4CBB" w:rsidRDefault="008B4CBB" w:rsidP="00CA75A2">
      <w:pPr>
        <w:pStyle w:val="ListParagraph"/>
        <w:numPr>
          <w:ilvl w:val="0"/>
          <w:numId w:val="23"/>
        </w:numPr>
        <w:ind w:left="714" w:hanging="357"/>
        <w:contextualSpacing w:val="0"/>
      </w:pPr>
      <w:r>
        <w:tab/>
        <w:t>SCDP Contracting and Competition Principles Document V1</w:t>
      </w:r>
    </w:p>
    <w:p w14:paraId="5C17DCD5" w14:textId="3CD7445B" w:rsidR="00BC3A7E" w:rsidRDefault="008B4CBB" w:rsidP="00CA75A2">
      <w:pPr>
        <w:pStyle w:val="ListParagraph"/>
        <w:numPr>
          <w:ilvl w:val="0"/>
          <w:numId w:val="23"/>
        </w:numPr>
        <w:ind w:left="714" w:hanging="357"/>
        <w:contextualSpacing w:val="0"/>
      </w:pPr>
      <w:r>
        <w:tab/>
        <w:t>Presentation slides with more details about the Core Team and Incentivisation</w:t>
      </w:r>
    </w:p>
    <w:tbl>
      <w:tblPr>
        <w:tblStyle w:val="TableGrid8"/>
        <w:tblW w:w="9634" w:type="dxa"/>
        <w:tblLook w:val="04A0" w:firstRow="1" w:lastRow="0" w:firstColumn="1" w:lastColumn="0" w:noHBand="0" w:noVBand="1"/>
      </w:tblPr>
      <w:tblGrid>
        <w:gridCol w:w="4957"/>
        <w:gridCol w:w="4677"/>
      </w:tblGrid>
      <w:tr w:rsidR="004B151D" w:rsidRPr="004B151D" w14:paraId="375CFDDE" w14:textId="77777777" w:rsidTr="00CA75A2">
        <w:trPr>
          <w:trHeight w:val="551"/>
          <w:tblHeader/>
        </w:trPr>
        <w:tc>
          <w:tcPr>
            <w:tcW w:w="4957" w:type="dxa"/>
            <w:shd w:val="clear" w:color="auto" w:fill="004846"/>
            <w:vAlign w:val="center"/>
          </w:tcPr>
          <w:p w14:paraId="79828432" w14:textId="77777777" w:rsidR="004B151D" w:rsidRPr="00CA75A2" w:rsidRDefault="004B151D" w:rsidP="00CA75A2">
            <w:pPr>
              <w:jc w:val="center"/>
              <w:rPr>
                <w:rFonts w:cs="Arial"/>
                <w:b/>
                <w:bCs/>
                <w:szCs w:val="22"/>
              </w:rPr>
            </w:pPr>
            <w:bookmarkStart w:id="8" w:name="_Hlk197421246"/>
            <w:r w:rsidRPr="00CA75A2">
              <w:rPr>
                <w:rFonts w:cs="Arial"/>
                <w:b/>
                <w:bCs/>
                <w:szCs w:val="22"/>
              </w:rPr>
              <w:t>Market Engagement Discussion Topic</w:t>
            </w:r>
          </w:p>
        </w:tc>
        <w:tc>
          <w:tcPr>
            <w:tcW w:w="4677" w:type="dxa"/>
            <w:shd w:val="clear" w:color="auto" w:fill="004846"/>
            <w:vAlign w:val="center"/>
          </w:tcPr>
          <w:p w14:paraId="1F1658E5" w14:textId="77777777" w:rsidR="004B151D" w:rsidRPr="00CA75A2" w:rsidRDefault="004B151D" w:rsidP="00CA75A2">
            <w:pPr>
              <w:jc w:val="center"/>
              <w:rPr>
                <w:rFonts w:cs="Arial"/>
                <w:b/>
                <w:bCs/>
                <w:szCs w:val="22"/>
              </w:rPr>
            </w:pPr>
            <w:r w:rsidRPr="00CA75A2">
              <w:rPr>
                <w:rFonts w:cs="Arial"/>
                <w:b/>
                <w:bCs/>
                <w:szCs w:val="22"/>
              </w:rPr>
              <w:t>Market Feedback</w:t>
            </w:r>
          </w:p>
        </w:tc>
      </w:tr>
      <w:tr w:rsidR="004B151D" w:rsidRPr="004B151D" w14:paraId="19D4D936" w14:textId="77777777" w:rsidTr="00632648">
        <w:tc>
          <w:tcPr>
            <w:tcW w:w="4957" w:type="dxa"/>
          </w:tcPr>
          <w:p w14:paraId="0583FBBA" w14:textId="77777777" w:rsidR="004B151D" w:rsidRPr="00CA75A2" w:rsidRDefault="004B151D" w:rsidP="00CA75A2">
            <w:pPr>
              <w:spacing w:before="60" w:after="60"/>
              <w:rPr>
                <w:rFonts w:cs="Arial"/>
                <w:sz w:val="20"/>
                <w:szCs w:val="20"/>
              </w:rPr>
            </w:pPr>
            <w:r w:rsidRPr="00CA75A2">
              <w:rPr>
                <w:rFonts w:cs="Arial"/>
                <w:sz w:val="20"/>
                <w:szCs w:val="20"/>
              </w:rPr>
              <w:t>Core delivery Team: Discussion regarding key staff members and partners who NWS would want to be included and assessed in the SCDP bids</w:t>
            </w:r>
          </w:p>
        </w:tc>
        <w:tc>
          <w:tcPr>
            <w:tcW w:w="4677" w:type="dxa"/>
          </w:tcPr>
          <w:p w14:paraId="0A19C630" w14:textId="47502B00" w:rsidR="004B151D" w:rsidRPr="00CA75A2" w:rsidRDefault="004B151D" w:rsidP="00CA75A2">
            <w:pPr>
              <w:spacing w:before="60" w:after="60"/>
              <w:rPr>
                <w:rFonts w:cs="Arial"/>
                <w:sz w:val="20"/>
                <w:szCs w:val="20"/>
              </w:rPr>
            </w:pPr>
            <w:r w:rsidRPr="00CA75A2">
              <w:rPr>
                <w:rFonts w:cs="Arial"/>
                <w:sz w:val="20"/>
                <w:szCs w:val="20"/>
              </w:rPr>
              <w:t>The market was concerned about the need to ‘lock’ proposed key team for the period between tender submission and contract award. Also, replacement of key people with only someone with equal or greater experience and qualifications was challenged. An idea to be able to propose more than one person that could fulfil each key job role was also raised. A suggestion to expand the key roles and include some additional ones was raised. Clarity on NWS organisation structure, core team scope vs task orders, forecast spend to size initial level of investment, level of effort and location needed to enable 1 year commitment were also requested. The change mechanism in terms of core delivery team should also be established. Some comments advised to avoid core delivery team to be too rigid and prescriptive which may discourage people from applying.</w:t>
            </w:r>
          </w:p>
        </w:tc>
      </w:tr>
      <w:tr w:rsidR="004B151D" w:rsidRPr="004B151D" w14:paraId="46F750BB" w14:textId="77777777" w:rsidTr="00632648">
        <w:tc>
          <w:tcPr>
            <w:tcW w:w="4957" w:type="dxa"/>
          </w:tcPr>
          <w:p w14:paraId="159DA1D2" w14:textId="77777777" w:rsidR="004B151D" w:rsidRPr="00CA75A2" w:rsidRDefault="004B151D" w:rsidP="00CA75A2">
            <w:pPr>
              <w:spacing w:before="60" w:after="60"/>
              <w:rPr>
                <w:rFonts w:cs="Arial"/>
                <w:sz w:val="20"/>
                <w:szCs w:val="20"/>
              </w:rPr>
            </w:pPr>
            <w:r w:rsidRPr="00CA75A2">
              <w:rPr>
                <w:rFonts w:cs="Arial"/>
                <w:sz w:val="20"/>
                <w:szCs w:val="20"/>
              </w:rPr>
              <w:t>Procurement of key Sub Consultants post award</w:t>
            </w:r>
          </w:p>
        </w:tc>
        <w:tc>
          <w:tcPr>
            <w:tcW w:w="4677" w:type="dxa"/>
          </w:tcPr>
          <w:p w14:paraId="00047B35" w14:textId="5A3A77A0" w:rsidR="004B151D" w:rsidRPr="00CA75A2" w:rsidRDefault="004B151D" w:rsidP="00CA75A2">
            <w:pPr>
              <w:spacing w:before="60" w:after="60"/>
              <w:rPr>
                <w:rFonts w:cs="Arial"/>
                <w:sz w:val="20"/>
                <w:szCs w:val="20"/>
              </w:rPr>
            </w:pPr>
            <w:r w:rsidRPr="00CA75A2">
              <w:rPr>
                <w:rFonts w:cs="Arial"/>
                <w:sz w:val="20"/>
                <w:szCs w:val="20"/>
              </w:rPr>
              <w:t>More clarity on rules around sub-consultants being able to fulfil the key roles and arrangement between the consultant and sub-consultants. The market emphasised having a full control over Drilling Contractor. Clarifications were requested about the requirements to flow down commercial terms including joint and several liability / insurances and quality requirements, certification, compliance etc.</w:t>
            </w:r>
          </w:p>
        </w:tc>
      </w:tr>
      <w:tr w:rsidR="004B151D" w:rsidRPr="004B151D" w14:paraId="1790C662" w14:textId="77777777" w:rsidTr="00632648">
        <w:tc>
          <w:tcPr>
            <w:tcW w:w="4957" w:type="dxa"/>
          </w:tcPr>
          <w:p w14:paraId="18E103C8" w14:textId="77777777" w:rsidR="004B151D" w:rsidRPr="00CA75A2" w:rsidRDefault="004B151D" w:rsidP="00CA75A2">
            <w:pPr>
              <w:spacing w:before="60" w:after="60"/>
              <w:rPr>
                <w:rFonts w:cs="Arial"/>
                <w:sz w:val="20"/>
                <w:szCs w:val="20"/>
              </w:rPr>
            </w:pPr>
            <w:r w:rsidRPr="00CA75A2">
              <w:rPr>
                <w:rFonts w:cs="Arial"/>
                <w:sz w:val="20"/>
                <w:szCs w:val="20"/>
              </w:rPr>
              <w:t>Procurement of Sub Contractors and using a mini-Delivery Model Assessment (DMA) for sub-contracts post award</w:t>
            </w:r>
          </w:p>
        </w:tc>
        <w:tc>
          <w:tcPr>
            <w:tcW w:w="4677" w:type="dxa"/>
          </w:tcPr>
          <w:p w14:paraId="37B43638" w14:textId="3A4C70F2" w:rsidR="004B151D" w:rsidRPr="00CA75A2" w:rsidRDefault="004B151D" w:rsidP="00CA75A2">
            <w:pPr>
              <w:spacing w:before="60" w:after="60"/>
              <w:rPr>
                <w:rFonts w:cs="Arial"/>
                <w:sz w:val="20"/>
                <w:szCs w:val="20"/>
              </w:rPr>
            </w:pPr>
            <w:r w:rsidRPr="00CA75A2">
              <w:rPr>
                <w:rFonts w:cs="Arial"/>
                <w:sz w:val="20"/>
                <w:szCs w:val="20"/>
              </w:rPr>
              <w:t xml:space="preserve">More clarity requested also regarding rules for award of scope on sole source basis particularly financial threshold and application of subcontractor mark-up fee. Clear understanding on what can / cannot be 'negotiated' in the T's&amp;C's to allow for specialist suppliers. Clarity on information security requirements, travel expenses, qualifications equivalence in regard to international resources were also requested. </w:t>
            </w:r>
          </w:p>
        </w:tc>
      </w:tr>
      <w:tr w:rsidR="004B151D" w:rsidRPr="004B151D" w14:paraId="22BA29B1" w14:textId="77777777" w:rsidTr="00632648">
        <w:tc>
          <w:tcPr>
            <w:tcW w:w="4957" w:type="dxa"/>
          </w:tcPr>
          <w:p w14:paraId="28174E62" w14:textId="77777777" w:rsidR="004B151D" w:rsidRPr="00CA75A2" w:rsidRDefault="004B151D" w:rsidP="00CA75A2">
            <w:pPr>
              <w:spacing w:before="60" w:after="60"/>
              <w:rPr>
                <w:rFonts w:cs="Arial"/>
                <w:sz w:val="20"/>
                <w:szCs w:val="20"/>
              </w:rPr>
            </w:pPr>
            <w:r w:rsidRPr="00CA75A2">
              <w:rPr>
                <w:rFonts w:cs="Arial"/>
                <w:sz w:val="20"/>
                <w:szCs w:val="20"/>
              </w:rPr>
              <w:t xml:space="preserve">Incentive models, KPIs/Balance Score Card – split into task and framework level </w:t>
            </w:r>
          </w:p>
        </w:tc>
        <w:tc>
          <w:tcPr>
            <w:tcW w:w="4677" w:type="dxa"/>
          </w:tcPr>
          <w:p w14:paraId="67041583" w14:textId="6DA33E1A" w:rsidR="004B151D" w:rsidRPr="00CA75A2" w:rsidRDefault="004B151D" w:rsidP="00CA75A2">
            <w:pPr>
              <w:spacing w:before="60" w:after="60"/>
              <w:rPr>
                <w:rFonts w:cs="Arial"/>
                <w:sz w:val="20"/>
                <w:szCs w:val="20"/>
              </w:rPr>
            </w:pPr>
            <w:r w:rsidRPr="00CA75A2">
              <w:rPr>
                <w:rFonts w:cs="Arial"/>
                <w:sz w:val="20"/>
                <w:szCs w:val="20"/>
              </w:rPr>
              <w:t xml:space="preserve">Questions how the SFI model will work for lump sum or target cost tasks and how risk is considered / priced were raised. Concerns about milestone payments resulting in  cashflow challenges especially for SMEs were also mentioned. </w:t>
            </w:r>
          </w:p>
        </w:tc>
      </w:tr>
      <w:tr w:rsidR="004B151D" w:rsidRPr="004B151D" w14:paraId="48732DA3" w14:textId="77777777" w:rsidTr="00632648">
        <w:tc>
          <w:tcPr>
            <w:tcW w:w="4957" w:type="dxa"/>
          </w:tcPr>
          <w:p w14:paraId="5ADE42BE" w14:textId="77777777" w:rsidR="004B151D" w:rsidRPr="00CA75A2" w:rsidRDefault="004B151D" w:rsidP="00CA75A2">
            <w:pPr>
              <w:spacing w:before="60" w:after="60"/>
              <w:rPr>
                <w:rFonts w:cs="Arial"/>
                <w:sz w:val="20"/>
                <w:szCs w:val="20"/>
              </w:rPr>
            </w:pPr>
            <w:r w:rsidRPr="00CA75A2">
              <w:rPr>
                <w:rFonts w:cs="Arial"/>
                <w:sz w:val="20"/>
                <w:szCs w:val="20"/>
              </w:rPr>
              <w:t>Incentive models at programme level. Joint incentivisation with Architect Engineer and Integration Partner</w:t>
            </w:r>
          </w:p>
        </w:tc>
        <w:tc>
          <w:tcPr>
            <w:tcW w:w="4677" w:type="dxa"/>
          </w:tcPr>
          <w:p w14:paraId="1BB34BE4" w14:textId="77777777" w:rsidR="004B151D" w:rsidRPr="00CA75A2" w:rsidRDefault="004B151D" w:rsidP="00CA75A2">
            <w:pPr>
              <w:spacing w:before="60" w:after="60"/>
              <w:rPr>
                <w:rFonts w:cs="Arial"/>
                <w:sz w:val="20"/>
                <w:szCs w:val="20"/>
              </w:rPr>
            </w:pPr>
            <w:r w:rsidRPr="00CA75A2">
              <w:rPr>
                <w:rFonts w:cs="Arial"/>
                <w:sz w:val="20"/>
                <w:szCs w:val="20"/>
              </w:rPr>
              <w:t xml:space="preserve">The market stressed the need for joint incentivisation to be same for everybody, each partner needs to put something at risk and Leadership Board to manage that. It was also suggested to incentivise around the technical integration needs (e.g. Design – PCSC – SDM). </w:t>
            </w:r>
          </w:p>
        </w:tc>
      </w:tr>
      <w:tr w:rsidR="004B151D" w:rsidRPr="004B151D" w14:paraId="5CD103D2" w14:textId="77777777" w:rsidTr="00632648">
        <w:tc>
          <w:tcPr>
            <w:tcW w:w="4957" w:type="dxa"/>
          </w:tcPr>
          <w:p w14:paraId="05AAAED2" w14:textId="77777777" w:rsidR="004B151D" w:rsidRPr="00CA75A2" w:rsidRDefault="004B151D" w:rsidP="00CA75A2">
            <w:pPr>
              <w:spacing w:before="60" w:after="60"/>
              <w:rPr>
                <w:rFonts w:cs="Arial"/>
                <w:sz w:val="20"/>
                <w:szCs w:val="20"/>
              </w:rPr>
            </w:pPr>
            <w:r w:rsidRPr="00CA75A2">
              <w:rPr>
                <w:rFonts w:cs="Arial"/>
                <w:sz w:val="20"/>
                <w:szCs w:val="20"/>
              </w:rPr>
              <w:t>Use of individual rate tables and supporting calculations</w:t>
            </w:r>
          </w:p>
        </w:tc>
        <w:tc>
          <w:tcPr>
            <w:tcW w:w="4677" w:type="dxa"/>
          </w:tcPr>
          <w:p w14:paraId="4D980A53" w14:textId="6527B0C8" w:rsidR="004B151D" w:rsidRPr="00CA75A2" w:rsidRDefault="004B151D" w:rsidP="00CA75A2">
            <w:pPr>
              <w:spacing w:before="60" w:after="60"/>
              <w:rPr>
                <w:rFonts w:cs="Arial"/>
                <w:sz w:val="20"/>
                <w:szCs w:val="20"/>
              </w:rPr>
            </w:pPr>
            <w:r w:rsidRPr="00CA75A2">
              <w:rPr>
                <w:rFonts w:cs="Arial"/>
                <w:sz w:val="20"/>
                <w:szCs w:val="20"/>
              </w:rPr>
              <w:t xml:space="preserve">The market requested more clarity around what is considered Defined Cost and what is included within Schedule of Cost Components. The rates must also accommodate overseas rates and currency fluctuations. Rates to be individual, recognising real increases in cost. Margin expectations can also vary down in the supply chain. Subcontracting overheads, audit costs, bonuses, salary increases need also be considered. Overhead is likely to be variable on work location and phases. Enhanced rates for those working offshore was also proposed. </w:t>
            </w:r>
          </w:p>
        </w:tc>
      </w:tr>
      <w:tr w:rsidR="004B151D" w:rsidRPr="004B151D" w14:paraId="6289A7FE" w14:textId="77777777" w:rsidTr="00632648">
        <w:tc>
          <w:tcPr>
            <w:tcW w:w="4957" w:type="dxa"/>
          </w:tcPr>
          <w:p w14:paraId="598C65AE" w14:textId="77777777" w:rsidR="004B151D" w:rsidRPr="00CA75A2" w:rsidRDefault="004B151D" w:rsidP="00CA75A2">
            <w:pPr>
              <w:spacing w:before="60" w:after="60"/>
              <w:rPr>
                <w:rFonts w:cs="Arial"/>
                <w:sz w:val="20"/>
                <w:szCs w:val="20"/>
              </w:rPr>
            </w:pPr>
            <w:r w:rsidRPr="00CA75A2">
              <w:rPr>
                <w:rFonts w:cs="Arial"/>
                <w:sz w:val="20"/>
                <w:szCs w:val="20"/>
              </w:rPr>
              <w:t>Social Benefits</w:t>
            </w:r>
          </w:p>
        </w:tc>
        <w:tc>
          <w:tcPr>
            <w:tcW w:w="4677" w:type="dxa"/>
          </w:tcPr>
          <w:p w14:paraId="12A86DD1" w14:textId="023B72D3" w:rsidR="004B151D" w:rsidRPr="00CA75A2" w:rsidRDefault="004B151D" w:rsidP="00CA75A2">
            <w:pPr>
              <w:spacing w:before="60" w:after="60"/>
              <w:rPr>
                <w:rFonts w:cs="Arial"/>
                <w:sz w:val="20"/>
                <w:szCs w:val="20"/>
              </w:rPr>
            </w:pPr>
            <w:r w:rsidRPr="00CA75A2">
              <w:rPr>
                <w:rFonts w:cs="Arial"/>
                <w:sz w:val="20"/>
                <w:szCs w:val="20"/>
              </w:rPr>
              <w:t>Suggestion that for some suppliers, delivery of social value might be more difficult due to type of work they are doing, hence social value and sustainability could be merged. An importance to select the social value tool across the whole programme early, for consistency was also emphasised.</w:t>
            </w:r>
          </w:p>
        </w:tc>
      </w:tr>
      <w:tr w:rsidR="004B151D" w:rsidRPr="004B151D" w14:paraId="6A35C104" w14:textId="77777777" w:rsidTr="00632648">
        <w:tc>
          <w:tcPr>
            <w:tcW w:w="4957" w:type="dxa"/>
          </w:tcPr>
          <w:p w14:paraId="55FE9689" w14:textId="77777777" w:rsidR="004B151D" w:rsidRPr="00CA75A2" w:rsidRDefault="004B151D" w:rsidP="00CA75A2">
            <w:pPr>
              <w:spacing w:before="60" w:after="60"/>
              <w:rPr>
                <w:rFonts w:cs="Arial"/>
                <w:sz w:val="20"/>
                <w:szCs w:val="20"/>
              </w:rPr>
            </w:pPr>
            <w:r w:rsidRPr="00CA75A2">
              <w:rPr>
                <w:rFonts w:cs="Arial"/>
                <w:sz w:val="20"/>
                <w:szCs w:val="20"/>
              </w:rPr>
              <w:t>Use of and inclusion of Environmental Protection Insurance</w:t>
            </w:r>
          </w:p>
        </w:tc>
        <w:tc>
          <w:tcPr>
            <w:tcW w:w="4677" w:type="dxa"/>
          </w:tcPr>
          <w:p w14:paraId="4FAAE591" w14:textId="44C9DEBC" w:rsidR="004B151D" w:rsidRPr="00CA75A2" w:rsidRDefault="004B151D" w:rsidP="00CA75A2">
            <w:pPr>
              <w:spacing w:before="60" w:after="60"/>
              <w:rPr>
                <w:rFonts w:cs="Arial"/>
                <w:sz w:val="20"/>
                <w:szCs w:val="20"/>
              </w:rPr>
            </w:pPr>
            <w:r w:rsidRPr="00CA75A2">
              <w:rPr>
                <w:rFonts w:cs="Arial"/>
                <w:sz w:val="20"/>
                <w:szCs w:val="20"/>
              </w:rPr>
              <w:t xml:space="preserve">The market requested more clarity regarding potential coverage of Environmental Protection Insurance. Also, the environmental requirements will change over time and insurance needs to recognise that. </w:t>
            </w:r>
          </w:p>
        </w:tc>
      </w:tr>
      <w:tr w:rsidR="004B151D" w:rsidRPr="004B151D" w14:paraId="3D803153" w14:textId="77777777" w:rsidTr="00632648">
        <w:tc>
          <w:tcPr>
            <w:tcW w:w="4957" w:type="dxa"/>
          </w:tcPr>
          <w:p w14:paraId="2B3AB263" w14:textId="77777777" w:rsidR="004B151D" w:rsidRPr="00CA75A2" w:rsidRDefault="004B151D" w:rsidP="00CA75A2">
            <w:pPr>
              <w:spacing w:before="60" w:after="60"/>
              <w:rPr>
                <w:rFonts w:cs="Arial"/>
                <w:sz w:val="20"/>
                <w:szCs w:val="20"/>
              </w:rPr>
            </w:pPr>
            <w:r w:rsidRPr="00CA75A2">
              <w:rPr>
                <w:rFonts w:cs="Arial"/>
                <w:sz w:val="20"/>
                <w:szCs w:val="20"/>
              </w:rPr>
              <w:t xml:space="preserve">Colocation </w:t>
            </w:r>
          </w:p>
        </w:tc>
        <w:tc>
          <w:tcPr>
            <w:tcW w:w="4677" w:type="dxa"/>
          </w:tcPr>
          <w:p w14:paraId="21726B04" w14:textId="6C439FF5" w:rsidR="004B151D" w:rsidRPr="00CA75A2" w:rsidRDefault="004B151D" w:rsidP="00CA75A2">
            <w:pPr>
              <w:spacing w:before="60" w:after="60"/>
              <w:rPr>
                <w:rFonts w:cs="Arial"/>
                <w:sz w:val="20"/>
                <w:szCs w:val="20"/>
              </w:rPr>
            </w:pPr>
            <w:r w:rsidRPr="00CA75A2">
              <w:rPr>
                <w:rFonts w:cs="Arial"/>
                <w:sz w:val="20"/>
                <w:szCs w:val="20"/>
              </w:rPr>
              <w:t xml:space="preserve">The need for colocation requirements to be specified from the tender stage to schedule, staff and price the team mobilisation accordingly. When defining a location a few matters should be considered including scenario planning for major incidents, carbon footprint and wellbeing. The need to provide a long-term vision that will encourage mobility to site. </w:t>
            </w:r>
          </w:p>
        </w:tc>
      </w:tr>
    </w:tbl>
    <w:p w14:paraId="2FFD97D2" w14:textId="63EDBC1C" w:rsidR="00BC3A7E" w:rsidRDefault="0070788E" w:rsidP="00C35124">
      <w:pPr>
        <w:pStyle w:val="Caption"/>
      </w:pPr>
      <w:bookmarkStart w:id="9" w:name="_Toc202532936"/>
      <w:bookmarkEnd w:id="8"/>
      <w:r>
        <w:t xml:space="preserve">Table </w:t>
      </w:r>
      <w:r w:rsidR="00A057CC">
        <w:fldChar w:fldCharType="begin"/>
      </w:r>
      <w:r w:rsidR="00A057CC">
        <w:instrText xml:space="preserve"> SEQ Table \* ARABIC </w:instrText>
      </w:r>
      <w:r w:rsidR="00A057CC">
        <w:fldChar w:fldCharType="separate"/>
      </w:r>
      <w:r w:rsidR="00A057CC">
        <w:rPr>
          <w:noProof/>
        </w:rPr>
        <w:t>2</w:t>
      </w:r>
      <w:r w:rsidR="00A057CC">
        <w:rPr>
          <w:noProof/>
        </w:rPr>
        <w:fldChar w:fldCharType="end"/>
      </w:r>
      <w:r w:rsidR="00254B59">
        <w:t xml:space="preserve">: </w:t>
      </w:r>
      <w:r w:rsidR="00254B59" w:rsidRPr="00254B59">
        <w:t xml:space="preserve">Market Engagement: 1-2-1 </w:t>
      </w:r>
      <w:r w:rsidR="00015F24">
        <w:t>E</w:t>
      </w:r>
      <w:r w:rsidR="00254B59" w:rsidRPr="00254B59">
        <w:t xml:space="preserve">ngagement </w:t>
      </w:r>
      <w:r w:rsidR="00015F24">
        <w:t>S</w:t>
      </w:r>
      <w:r w:rsidR="00254B59" w:rsidRPr="00254B59">
        <w:t>essions</w:t>
      </w:r>
      <w:r w:rsidR="00A60D91">
        <w:t xml:space="preserve"> Market Feedback</w:t>
      </w:r>
      <w:r w:rsidR="00A553B1">
        <w:t xml:space="preserve"> </w:t>
      </w:r>
      <w:r w:rsidR="00A553B1" w:rsidRPr="00A553B1">
        <w:t>2024</w:t>
      </w:r>
      <w:bookmarkEnd w:id="9"/>
    </w:p>
    <w:p w14:paraId="48B0A94C" w14:textId="77777777" w:rsidR="004B151D" w:rsidRDefault="004B151D" w:rsidP="00477544"/>
    <w:p w14:paraId="235F3B5F" w14:textId="77777777" w:rsidR="004B151D" w:rsidRDefault="004B151D" w:rsidP="00477544"/>
    <w:p w14:paraId="233EC7F2" w14:textId="77777777" w:rsidR="00BC3A7E" w:rsidRPr="00C35124" w:rsidRDefault="00BC3A7E" w:rsidP="00477544"/>
    <w:p w14:paraId="4C418DC0" w14:textId="77777777" w:rsidR="00AB1FB7" w:rsidRPr="00050E2E" w:rsidRDefault="00AB1FB7" w:rsidP="00050E2E"/>
    <w:p w14:paraId="04913C01" w14:textId="01A2E834" w:rsidR="00A52326" w:rsidRDefault="00F45F7D" w:rsidP="00DC2653">
      <w:pPr>
        <w:pStyle w:val="Heading11"/>
      </w:pPr>
      <w:bookmarkStart w:id="10" w:name="_Toc202532930"/>
      <w:r w:rsidRPr="00F45F7D">
        <w:t>SCDP Contracting and Competition Principles Document</w:t>
      </w:r>
      <w:bookmarkEnd w:id="10"/>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7"/>
      </w:tblGrid>
      <w:tr w:rsidR="000919BB" w:rsidRPr="007B440E" w14:paraId="092CD1DD" w14:textId="77777777" w:rsidTr="00CA75A2">
        <w:trPr>
          <w:tblHeader/>
        </w:trPr>
        <w:tc>
          <w:tcPr>
            <w:tcW w:w="4957" w:type="dxa"/>
            <w:shd w:val="clear" w:color="auto" w:fill="004846"/>
            <w:vAlign w:val="center"/>
          </w:tcPr>
          <w:p w14:paraId="36F63F21" w14:textId="77777777" w:rsidR="000919BB" w:rsidRPr="00CA75A2" w:rsidRDefault="000919BB" w:rsidP="00632648">
            <w:pPr>
              <w:jc w:val="center"/>
              <w:rPr>
                <w:rFonts w:eastAsia="Aptos" w:cs="Arial"/>
                <w:b/>
                <w:bCs/>
                <w:kern w:val="2"/>
                <w:szCs w:val="22"/>
                <w14:ligatures w14:val="standardContextual"/>
              </w:rPr>
            </w:pPr>
            <w:r w:rsidRPr="00CA75A2">
              <w:rPr>
                <w:rFonts w:eastAsia="Aptos" w:cs="Arial"/>
                <w:b/>
                <w:bCs/>
                <w:kern w:val="2"/>
                <w:szCs w:val="22"/>
                <w14:ligatures w14:val="standardContextual"/>
              </w:rPr>
              <w:t>Topic Area</w:t>
            </w:r>
          </w:p>
        </w:tc>
        <w:tc>
          <w:tcPr>
            <w:tcW w:w="4677" w:type="dxa"/>
            <w:shd w:val="clear" w:color="auto" w:fill="004846"/>
            <w:vAlign w:val="center"/>
          </w:tcPr>
          <w:p w14:paraId="1FE0ABD5" w14:textId="77777777" w:rsidR="000919BB" w:rsidRPr="00CA75A2" w:rsidRDefault="000919BB" w:rsidP="00632648">
            <w:pPr>
              <w:jc w:val="center"/>
              <w:rPr>
                <w:rFonts w:eastAsia="Aptos" w:cs="Arial"/>
                <w:b/>
                <w:bCs/>
                <w:kern w:val="2"/>
                <w:szCs w:val="22"/>
                <w14:ligatures w14:val="standardContextual"/>
              </w:rPr>
            </w:pPr>
            <w:r w:rsidRPr="00CA75A2">
              <w:rPr>
                <w:rFonts w:eastAsia="Aptos" w:cs="Arial"/>
                <w:b/>
                <w:bCs/>
                <w:kern w:val="2"/>
                <w:szCs w:val="22"/>
                <w14:ligatures w14:val="standardContextual"/>
              </w:rPr>
              <w:t>Market Feedback</w:t>
            </w:r>
          </w:p>
        </w:tc>
      </w:tr>
      <w:tr w:rsidR="000919BB" w:rsidRPr="007B440E" w14:paraId="38DF0B04" w14:textId="77777777" w:rsidTr="00CA75A2">
        <w:tc>
          <w:tcPr>
            <w:tcW w:w="4957" w:type="dxa"/>
          </w:tcPr>
          <w:p w14:paraId="177BC9B4" w14:textId="77777777" w:rsidR="000919BB" w:rsidRPr="00CA75A2" w:rsidRDefault="000919BB" w:rsidP="00CA75A2">
            <w:pPr>
              <w:spacing w:before="60" w:after="60"/>
              <w:rPr>
                <w:rFonts w:cs="Arial"/>
                <w:sz w:val="20"/>
                <w:szCs w:val="20"/>
              </w:rPr>
            </w:pPr>
            <w:r w:rsidRPr="00CA75A2">
              <w:rPr>
                <w:rFonts w:cs="Arial"/>
                <w:sz w:val="20"/>
                <w:szCs w:val="20"/>
              </w:rPr>
              <w:t>Form</w:t>
            </w:r>
            <w:r w:rsidRPr="00CA75A2">
              <w:rPr>
                <w:rFonts w:cs="Arial"/>
                <w:spacing w:val="-12"/>
                <w:sz w:val="20"/>
                <w:szCs w:val="20"/>
              </w:rPr>
              <w:t xml:space="preserve"> </w:t>
            </w:r>
            <w:r w:rsidRPr="00CA75A2">
              <w:rPr>
                <w:rFonts w:cs="Arial"/>
                <w:sz w:val="20"/>
                <w:szCs w:val="20"/>
              </w:rPr>
              <w:t>of</w:t>
            </w:r>
            <w:r w:rsidRPr="00CA75A2">
              <w:rPr>
                <w:rFonts w:cs="Arial"/>
                <w:spacing w:val="-11"/>
                <w:sz w:val="20"/>
                <w:szCs w:val="20"/>
              </w:rPr>
              <w:t xml:space="preserve"> </w:t>
            </w:r>
            <w:r w:rsidRPr="00CA75A2">
              <w:rPr>
                <w:rFonts w:cs="Arial"/>
                <w:spacing w:val="-2"/>
                <w:sz w:val="20"/>
                <w:szCs w:val="20"/>
              </w:rPr>
              <w:t>Contract</w:t>
            </w:r>
          </w:p>
        </w:tc>
        <w:tc>
          <w:tcPr>
            <w:tcW w:w="4677" w:type="dxa"/>
          </w:tcPr>
          <w:p w14:paraId="2878AF05" w14:textId="1F42BF98" w:rsidR="000919BB" w:rsidRPr="00CA75A2" w:rsidRDefault="000919BB" w:rsidP="00CA75A2">
            <w:pPr>
              <w:spacing w:before="60" w:after="60"/>
              <w:rPr>
                <w:rFonts w:cs="Arial"/>
                <w:sz w:val="20"/>
                <w:szCs w:val="20"/>
              </w:rPr>
            </w:pPr>
            <w:r w:rsidRPr="00CA75A2">
              <w:rPr>
                <w:rFonts w:cs="Arial"/>
                <w:sz w:val="20"/>
                <w:szCs w:val="20"/>
              </w:rPr>
              <w:t>The market suggested considering ECC as a primary contract (instead of NEC PSC) with elements of PSC. Also, a suggestion to consider mix of contract main options e.g. Option C as main but some option A items could be brought onto Option C.</w:t>
            </w:r>
          </w:p>
        </w:tc>
      </w:tr>
      <w:tr w:rsidR="000919BB" w:rsidRPr="007B440E" w14:paraId="56E9CD93" w14:textId="77777777" w:rsidTr="00CA75A2">
        <w:tc>
          <w:tcPr>
            <w:tcW w:w="4957" w:type="dxa"/>
          </w:tcPr>
          <w:p w14:paraId="5FB66BC6" w14:textId="77777777" w:rsidR="000919BB" w:rsidRPr="00CA75A2" w:rsidRDefault="000919BB" w:rsidP="00CA75A2">
            <w:pPr>
              <w:spacing w:before="60" w:after="60"/>
              <w:rPr>
                <w:rFonts w:cs="Arial"/>
                <w:sz w:val="20"/>
                <w:szCs w:val="20"/>
              </w:rPr>
            </w:pPr>
            <w:r w:rsidRPr="00CA75A2">
              <w:rPr>
                <w:rFonts w:cs="Arial"/>
                <w:sz w:val="20"/>
                <w:szCs w:val="20"/>
              </w:rPr>
              <w:t>Style</w:t>
            </w:r>
            <w:r w:rsidRPr="00CA75A2">
              <w:rPr>
                <w:rFonts w:cs="Arial"/>
                <w:spacing w:val="-10"/>
                <w:sz w:val="20"/>
                <w:szCs w:val="20"/>
              </w:rPr>
              <w:t xml:space="preserve"> </w:t>
            </w:r>
            <w:r w:rsidRPr="00CA75A2">
              <w:rPr>
                <w:rFonts w:cs="Arial"/>
                <w:sz w:val="20"/>
                <w:szCs w:val="20"/>
              </w:rPr>
              <w:t>of</w:t>
            </w:r>
            <w:r w:rsidRPr="00CA75A2">
              <w:rPr>
                <w:rFonts w:cs="Arial"/>
                <w:spacing w:val="-13"/>
                <w:sz w:val="20"/>
                <w:szCs w:val="20"/>
              </w:rPr>
              <w:t xml:space="preserve"> </w:t>
            </w:r>
            <w:r w:rsidRPr="00CA75A2">
              <w:rPr>
                <w:rFonts w:cs="Arial"/>
                <w:spacing w:val="-2"/>
                <w:sz w:val="20"/>
                <w:szCs w:val="20"/>
              </w:rPr>
              <w:t>Contract</w:t>
            </w:r>
          </w:p>
        </w:tc>
        <w:tc>
          <w:tcPr>
            <w:tcW w:w="4677" w:type="dxa"/>
          </w:tcPr>
          <w:p w14:paraId="717CAC45" w14:textId="38B53FC5" w:rsidR="000919BB" w:rsidRPr="00CA75A2" w:rsidRDefault="000919BB" w:rsidP="00CA75A2">
            <w:pPr>
              <w:spacing w:before="60" w:after="60"/>
              <w:rPr>
                <w:rFonts w:cs="Arial"/>
                <w:sz w:val="20"/>
                <w:szCs w:val="20"/>
              </w:rPr>
            </w:pPr>
            <w:r w:rsidRPr="00CA75A2">
              <w:rPr>
                <w:rFonts w:cs="Arial"/>
                <w:sz w:val="20"/>
                <w:szCs w:val="20"/>
              </w:rPr>
              <w:t>The market was concerned about the inclusion of obligation to accept all Task Orders considering lack of scope clarity. It was proposed to make this subject to agreement or alternatively making the obligation subject to a bounding set of scope parameters, with anything else beyond this subject to agreement.</w:t>
            </w:r>
          </w:p>
        </w:tc>
      </w:tr>
      <w:tr w:rsidR="000919BB" w:rsidRPr="007B440E" w14:paraId="0749DE6F" w14:textId="77777777" w:rsidTr="00CA75A2">
        <w:tc>
          <w:tcPr>
            <w:tcW w:w="4957" w:type="dxa"/>
          </w:tcPr>
          <w:p w14:paraId="628059A4" w14:textId="77777777" w:rsidR="000919BB" w:rsidRPr="00CA75A2" w:rsidRDefault="000919BB" w:rsidP="00CA75A2">
            <w:pPr>
              <w:spacing w:before="60" w:after="60"/>
              <w:rPr>
                <w:rFonts w:cs="Arial"/>
                <w:sz w:val="20"/>
                <w:szCs w:val="20"/>
              </w:rPr>
            </w:pPr>
            <w:r w:rsidRPr="00CA75A2">
              <w:rPr>
                <w:rFonts w:cs="Arial"/>
                <w:spacing w:val="-2"/>
                <w:sz w:val="20"/>
                <w:szCs w:val="20"/>
              </w:rPr>
              <w:t>Control</w:t>
            </w:r>
            <w:r w:rsidRPr="00CA75A2">
              <w:rPr>
                <w:rFonts w:cs="Arial"/>
                <w:spacing w:val="-13"/>
                <w:sz w:val="20"/>
                <w:szCs w:val="20"/>
              </w:rPr>
              <w:t xml:space="preserve"> </w:t>
            </w:r>
            <w:r w:rsidRPr="00CA75A2">
              <w:rPr>
                <w:rFonts w:cs="Arial"/>
                <w:spacing w:val="-2"/>
                <w:sz w:val="20"/>
                <w:szCs w:val="20"/>
              </w:rPr>
              <w:t>Estimate</w:t>
            </w:r>
            <w:r w:rsidRPr="00CA75A2">
              <w:rPr>
                <w:rFonts w:cs="Arial"/>
                <w:spacing w:val="-13"/>
                <w:sz w:val="20"/>
                <w:szCs w:val="20"/>
              </w:rPr>
              <w:t xml:space="preserve"> </w:t>
            </w:r>
            <w:r w:rsidRPr="00CA75A2">
              <w:rPr>
                <w:rFonts w:cs="Arial"/>
                <w:spacing w:val="-2"/>
                <w:sz w:val="20"/>
                <w:szCs w:val="20"/>
              </w:rPr>
              <w:t>and Schedule</w:t>
            </w:r>
          </w:p>
        </w:tc>
        <w:tc>
          <w:tcPr>
            <w:tcW w:w="4677" w:type="dxa"/>
          </w:tcPr>
          <w:p w14:paraId="70FBCF3A" w14:textId="77777777" w:rsidR="000919BB" w:rsidRPr="00CA75A2" w:rsidRDefault="000919BB" w:rsidP="00CA75A2">
            <w:pPr>
              <w:spacing w:before="60" w:after="60"/>
              <w:rPr>
                <w:rFonts w:cs="Arial"/>
                <w:sz w:val="20"/>
                <w:szCs w:val="20"/>
              </w:rPr>
            </w:pPr>
            <w:r w:rsidRPr="00CA75A2">
              <w:rPr>
                <w:rFonts w:cs="Arial"/>
                <w:sz w:val="20"/>
                <w:szCs w:val="20"/>
              </w:rPr>
              <w:t>The market suggested defining “repeat” or “routine” task orders, which by default will be priced in accordance with a previously agreed basis. Also, a clarification if the cost of administering the framework agreement, will be an allowable cost was requested.</w:t>
            </w:r>
          </w:p>
        </w:tc>
      </w:tr>
      <w:tr w:rsidR="000919BB" w:rsidRPr="007B440E" w14:paraId="088A8745" w14:textId="77777777" w:rsidTr="00CA75A2">
        <w:tc>
          <w:tcPr>
            <w:tcW w:w="4957" w:type="dxa"/>
          </w:tcPr>
          <w:p w14:paraId="37E6ED44" w14:textId="77777777" w:rsidR="000919BB" w:rsidRPr="00CA75A2" w:rsidRDefault="000919BB" w:rsidP="00CA75A2">
            <w:pPr>
              <w:spacing w:before="60" w:after="60"/>
              <w:rPr>
                <w:rFonts w:cs="Arial"/>
                <w:sz w:val="20"/>
                <w:szCs w:val="20"/>
              </w:rPr>
            </w:pPr>
            <w:r w:rsidRPr="00CA75A2">
              <w:rPr>
                <w:rFonts w:cs="Arial"/>
                <w:spacing w:val="-2"/>
                <w:sz w:val="20"/>
                <w:szCs w:val="20"/>
              </w:rPr>
              <w:t>Nuclear Liability</w:t>
            </w:r>
          </w:p>
        </w:tc>
        <w:tc>
          <w:tcPr>
            <w:tcW w:w="4677" w:type="dxa"/>
          </w:tcPr>
          <w:p w14:paraId="0FAD5B0C" w14:textId="315142E9" w:rsidR="000919BB" w:rsidRPr="00CA75A2" w:rsidRDefault="000919BB" w:rsidP="00CA75A2">
            <w:pPr>
              <w:spacing w:before="60" w:after="60"/>
              <w:rPr>
                <w:rFonts w:cs="Arial"/>
                <w:sz w:val="20"/>
                <w:szCs w:val="20"/>
              </w:rPr>
            </w:pPr>
            <w:r w:rsidRPr="00CA75A2">
              <w:rPr>
                <w:rFonts w:cs="Arial"/>
                <w:sz w:val="20"/>
                <w:szCs w:val="20"/>
              </w:rPr>
              <w:t>The market stated that they will need an early sight of anticipated treatment of Nuclear Liabilities.</w:t>
            </w:r>
          </w:p>
        </w:tc>
      </w:tr>
      <w:tr w:rsidR="000919BB" w:rsidRPr="007B440E" w14:paraId="11360D25" w14:textId="77777777" w:rsidTr="00CA75A2">
        <w:tc>
          <w:tcPr>
            <w:tcW w:w="4957" w:type="dxa"/>
          </w:tcPr>
          <w:p w14:paraId="4574267A" w14:textId="77777777" w:rsidR="000919BB" w:rsidRPr="00CA75A2" w:rsidRDefault="000919BB" w:rsidP="00CA75A2">
            <w:pPr>
              <w:spacing w:before="60" w:after="60"/>
              <w:rPr>
                <w:rFonts w:cs="Arial"/>
                <w:sz w:val="20"/>
                <w:szCs w:val="20"/>
              </w:rPr>
            </w:pPr>
            <w:r w:rsidRPr="00CA75A2">
              <w:rPr>
                <w:rFonts w:cs="Arial"/>
                <w:spacing w:val="-2"/>
                <w:sz w:val="20"/>
                <w:szCs w:val="20"/>
              </w:rPr>
              <w:t>Insurances</w:t>
            </w:r>
            <w:r w:rsidRPr="00CA75A2">
              <w:rPr>
                <w:rFonts w:cs="Arial"/>
                <w:spacing w:val="-4"/>
                <w:sz w:val="20"/>
                <w:szCs w:val="20"/>
              </w:rPr>
              <w:t xml:space="preserve"> </w:t>
            </w:r>
            <w:r w:rsidRPr="00CA75A2">
              <w:rPr>
                <w:rFonts w:cs="Arial"/>
                <w:spacing w:val="-2"/>
                <w:sz w:val="20"/>
                <w:szCs w:val="20"/>
              </w:rPr>
              <w:t>&amp;</w:t>
            </w:r>
            <w:r w:rsidRPr="00CA75A2">
              <w:rPr>
                <w:rFonts w:cs="Arial"/>
                <w:spacing w:val="-7"/>
                <w:sz w:val="20"/>
                <w:szCs w:val="20"/>
              </w:rPr>
              <w:t xml:space="preserve"> </w:t>
            </w:r>
            <w:r w:rsidRPr="00CA75A2">
              <w:rPr>
                <w:rFonts w:cs="Arial"/>
                <w:spacing w:val="-2"/>
                <w:sz w:val="20"/>
                <w:szCs w:val="20"/>
              </w:rPr>
              <w:t>Indemnities</w:t>
            </w:r>
          </w:p>
        </w:tc>
        <w:tc>
          <w:tcPr>
            <w:tcW w:w="4677" w:type="dxa"/>
          </w:tcPr>
          <w:p w14:paraId="35BF914D" w14:textId="1BFEC76D" w:rsidR="000919BB" w:rsidRPr="00CA75A2" w:rsidRDefault="000919BB" w:rsidP="00CA75A2">
            <w:pPr>
              <w:spacing w:before="60" w:after="60"/>
              <w:rPr>
                <w:rFonts w:cs="Arial"/>
                <w:sz w:val="20"/>
                <w:szCs w:val="20"/>
              </w:rPr>
            </w:pPr>
            <w:r w:rsidRPr="00CA75A2">
              <w:rPr>
                <w:rFonts w:cs="Arial"/>
                <w:sz w:val="20"/>
                <w:szCs w:val="20"/>
              </w:rPr>
              <w:t xml:space="preserve">The market suggested to include insurance costs as Direct Costs rather than being incorporated into an Overhead or Fee percentage. The market also highlighted the difference between the Client and Consultant taking the insurance. A proposal for the insured losses to be capped at the level of insurance stated in the contract was also raised. </w:t>
            </w:r>
          </w:p>
        </w:tc>
      </w:tr>
      <w:tr w:rsidR="000919BB" w:rsidRPr="007B440E" w14:paraId="2B727F6E" w14:textId="77777777" w:rsidTr="00CA75A2">
        <w:tc>
          <w:tcPr>
            <w:tcW w:w="4957" w:type="dxa"/>
          </w:tcPr>
          <w:p w14:paraId="61A2F392" w14:textId="77777777" w:rsidR="000919BB" w:rsidRPr="00CA75A2" w:rsidRDefault="000919BB" w:rsidP="00CA75A2">
            <w:pPr>
              <w:spacing w:before="60" w:after="60"/>
              <w:rPr>
                <w:rFonts w:cs="Arial"/>
                <w:sz w:val="20"/>
                <w:szCs w:val="20"/>
              </w:rPr>
            </w:pPr>
            <w:r w:rsidRPr="00CA75A2">
              <w:rPr>
                <w:rFonts w:cs="Arial"/>
                <w:spacing w:val="-2"/>
                <w:sz w:val="20"/>
                <w:szCs w:val="20"/>
              </w:rPr>
              <w:t>Plant</w:t>
            </w:r>
            <w:r w:rsidRPr="00CA75A2">
              <w:rPr>
                <w:rFonts w:cs="Arial"/>
                <w:spacing w:val="-13"/>
                <w:sz w:val="20"/>
                <w:szCs w:val="20"/>
              </w:rPr>
              <w:t xml:space="preserve"> </w:t>
            </w:r>
            <w:r w:rsidRPr="00CA75A2">
              <w:rPr>
                <w:rFonts w:cs="Arial"/>
                <w:spacing w:val="-2"/>
                <w:sz w:val="20"/>
                <w:szCs w:val="20"/>
              </w:rPr>
              <w:t>Performance</w:t>
            </w:r>
            <w:r w:rsidRPr="00CA75A2">
              <w:rPr>
                <w:rFonts w:cs="Arial"/>
                <w:spacing w:val="-12"/>
                <w:sz w:val="20"/>
                <w:szCs w:val="20"/>
              </w:rPr>
              <w:t xml:space="preserve"> </w:t>
            </w:r>
            <w:r w:rsidRPr="00CA75A2">
              <w:rPr>
                <w:rFonts w:cs="Arial"/>
                <w:spacing w:val="-2"/>
                <w:sz w:val="20"/>
                <w:szCs w:val="20"/>
              </w:rPr>
              <w:t>and Functionality</w:t>
            </w:r>
          </w:p>
        </w:tc>
        <w:tc>
          <w:tcPr>
            <w:tcW w:w="4677" w:type="dxa"/>
          </w:tcPr>
          <w:p w14:paraId="6332B5BA" w14:textId="0A9C0610" w:rsidR="000919BB" w:rsidRPr="00CA75A2" w:rsidRDefault="000919BB" w:rsidP="00CA75A2">
            <w:pPr>
              <w:spacing w:before="60" w:after="60"/>
              <w:rPr>
                <w:rFonts w:cs="Arial"/>
                <w:sz w:val="20"/>
                <w:szCs w:val="20"/>
              </w:rPr>
            </w:pPr>
            <w:r w:rsidRPr="00CA75A2">
              <w:rPr>
                <w:rFonts w:cs="Arial"/>
                <w:sz w:val="20"/>
                <w:szCs w:val="20"/>
              </w:rPr>
              <w:t xml:space="preserve">The market requested some examples of the value transition point for plant. </w:t>
            </w:r>
          </w:p>
        </w:tc>
      </w:tr>
      <w:tr w:rsidR="000919BB" w:rsidRPr="007B440E" w14:paraId="3DC2DB25" w14:textId="77777777" w:rsidTr="00CA75A2">
        <w:tc>
          <w:tcPr>
            <w:tcW w:w="4957" w:type="dxa"/>
          </w:tcPr>
          <w:p w14:paraId="628F7726" w14:textId="77777777" w:rsidR="000919BB" w:rsidRPr="00CA75A2" w:rsidRDefault="000919BB" w:rsidP="00CA75A2">
            <w:pPr>
              <w:spacing w:before="60" w:after="60"/>
              <w:rPr>
                <w:rFonts w:cs="Arial"/>
                <w:sz w:val="20"/>
                <w:szCs w:val="20"/>
              </w:rPr>
            </w:pPr>
            <w:r w:rsidRPr="00CA75A2">
              <w:rPr>
                <w:rFonts w:cs="Arial"/>
                <w:sz w:val="20"/>
                <w:szCs w:val="20"/>
              </w:rPr>
              <w:t>Limit</w:t>
            </w:r>
            <w:r w:rsidRPr="00CA75A2">
              <w:rPr>
                <w:rFonts w:cs="Arial"/>
                <w:spacing w:val="-10"/>
                <w:sz w:val="20"/>
                <w:szCs w:val="20"/>
              </w:rPr>
              <w:t xml:space="preserve"> </w:t>
            </w:r>
            <w:r w:rsidRPr="00CA75A2">
              <w:rPr>
                <w:rFonts w:cs="Arial"/>
                <w:sz w:val="20"/>
                <w:szCs w:val="20"/>
              </w:rPr>
              <w:t>of</w:t>
            </w:r>
            <w:r w:rsidRPr="00CA75A2">
              <w:rPr>
                <w:rFonts w:cs="Arial"/>
                <w:spacing w:val="-9"/>
                <w:sz w:val="20"/>
                <w:szCs w:val="20"/>
              </w:rPr>
              <w:t xml:space="preserve"> </w:t>
            </w:r>
            <w:r w:rsidRPr="00CA75A2">
              <w:rPr>
                <w:rFonts w:cs="Arial"/>
                <w:spacing w:val="-2"/>
                <w:sz w:val="20"/>
                <w:szCs w:val="20"/>
              </w:rPr>
              <w:t>Liability</w:t>
            </w:r>
          </w:p>
        </w:tc>
        <w:tc>
          <w:tcPr>
            <w:tcW w:w="4677" w:type="dxa"/>
          </w:tcPr>
          <w:p w14:paraId="4C8FA53C" w14:textId="1FA8D1AF" w:rsidR="000919BB" w:rsidRPr="00CA75A2" w:rsidRDefault="000919BB" w:rsidP="00CA75A2">
            <w:pPr>
              <w:spacing w:before="60" w:after="60"/>
              <w:rPr>
                <w:rFonts w:cs="Arial"/>
                <w:sz w:val="20"/>
                <w:szCs w:val="20"/>
              </w:rPr>
            </w:pPr>
            <w:r w:rsidRPr="00CA75A2">
              <w:rPr>
                <w:rFonts w:cs="Arial"/>
                <w:sz w:val="20"/>
                <w:szCs w:val="20"/>
              </w:rPr>
              <w:t xml:space="preserve">The market believed that 5 x Task Order value is excessive given expected sums and may be an issue for their corporate governance. It was also suggested to carve out for insurances including PI. It was highlighted that liabilities should be proportionate to the Consultant’s fee. </w:t>
            </w:r>
          </w:p>
        </w:tc>
      </w:tr>
      <w:tr w:rsidR="000919BB" w:rsidRPr="007B440E" w14:paraId="7E237CE9" w14:textId="77777777" w:rsidTr="00CA75A2">
        <w:tc>
          <w:tcPr>
            <w:tcW w:w="4957" w:type="dxa"/>
          </w:tcPr>
          <w:p w14:paraId="775DE6F1" w14:textId="77777777" w:rsidR="000919BB" w:rsidRPr="00CA75A2" w:rsidRDefault="000919BB" w:rsidP="00CA75A2">
            <w:pPr>
              <w:spacing w:before="60" w:after="60"/>
              <w:rPr>
                <w:rFonts w:cs="Arial"/>
                <w:sz w:val="20"/>
                <w:szCs w:val="20"/>
              </w:rPr>
            </w:pPr>
            <w:r w:rsidRPr="00CA75A2">
              <w:rPr>
                <w:rFonts w:cs="Arial"/>
                <w:spacing w:val="-2"/>
                <w:sz w:val="20"/>
                <w:szCs w:val="20"/>
              </w:rPr>
              <w:t>Exclusion</w:t>
            </w:r>
            <w:r w:rsidRPr="00CA75A2">
              <w:rPr>
                <w:rFonts w:cs="Arial"/>
                <w:spacing w:val="-10"/>
                <w:sz w:val="20"/>
                <w:szCs w:val="20"/>
              </w:rPr>
              <w:t xml:space="preserve"> </w:t>
            </w:r>
            <w:r w:rsidRPr="00CA75A2">
              <w:rPr>
                <w:rFonts w:cs="Arial"/>
                <w:spacing w:val="-2"/>
                <w:sz w:val="20"/>
                <w:szCs w:val="20"/>
              </w:rPr>
              <w:t>of</w:t>
            </w:r>
            <w:r w:rsidRPr="00CA75A2">
              <w:rPr>
                <w:rFonts w:cs="Arial"/>
                <w:spacing w:val="-10"/>
                <w:sz w:val="20"/>
                <w:szCs w:val="20"/>
              </w:rPr>
              <w:t xml:space="preserve"> </w:t>
            </w:r>
            <w:r w:rsidRPr="00CA75A2">
              <w:rPr>
                <w:rFonts w:cs="Arial"/>
                <w:spacing w:val="-2"/>
                <w:sz w:val="20"/>
                <w:szCs w:val="20"/>
              </w:rPr>
              <w:t xml:space="preserve">Consequential </w:t>
            </w:r>
            <w:r w:rsidRPr="00CA75A2">
              <w:rPr>
                <w:rFonts w:cs="Arial"/>
                <w:spacing w:val="-4"/>
                <w:sz w:val="20"/>
                <w:szCs w:val="20"/>
              </w:rPr>
              <w:t>Loss</w:t>
            </w:r>
          </w:p>
        </w:tc>
        <w:tc>
          <w:tcPr>
            <w:tcW w:w="4677" w:type="dxa"/>
          </w:tcPr>
          <w:p w14:paraId="68B4E0DD" w14:textId="3493F269" w:rsidR="000919BB" w:rsidRPr="00CA75A2" w:rsidRDefault="000919BB" w:rsidP="00CA75A2">
            <w:pPr>
              <w:spacing w:before="60" w:after="60"/>
              <w:rPr>
                <w:rFonts w:cs="Arial"/>
                <w:sz w:val="20"/>
                <w:szCs w:val="20"/>
              </w:rPr>
            </w:pPr>
            <w:r w:rsidRPr="00CA75A2">
              <w:rPr>
                <w:rFonts w:cs="Arial"/>
                <w:sz w:val="20"/>
                <w:szCs w:val="20"/>
              </w:rPr>
              <w:t>The market requested to provide “standard NWS flow-downs regarding recoverable NWS losses” for their review and feedback.</w:t>
            </w:r>
          </w:p>
        </w:tc>
      </w:tr>
      <w:tr w:rsidR="000919BB" w:rsidRPr="007B440E" w14:paraId="0C679CE5" w14:textId="77777777" w:rsidTr="00CA75A2">
        <w:tc>
          <w:tcPr>
            <w:tcW w:w="4957" w:type="dxa"/>
          </w:tcPr>
          <w:p w14:paraId="327BF5CD" w14:textId="77777777" w:rsidR="000919BB" w:rsidRPr="00CA75A2" w:rsidRDefault="000919BB" w:rsidP="00CA75A2">
            <w:pPr>
              <w:spacing w:before="60" w:after="60"/>
              <w:rPr>
                <w:rFonts w:cs="Arial"/>
                <w:sz w:val="20"/>
                <w:szCs w:val="20"/>
              </w:rPr>
            </w:pPr>
            <w:r w:rsidRPr="00CA75A2">
              <w:rPr>
                <w:rFonts w:cs="Arial"/>
                <w:spacing w:val="-2"/>
                <w:sz w:val="20"/>
                <w:szCs w:val="20"/>
              </w:rPr>
              <w:t>Liquidated</w:t>
            </w:r>
            <w:r w:rsidRPr="00CA75A2">
              <w:rPr>
                <w:rFonts w:cs="Arial"/>
                <w:spacing w:val="-7"/>
                <w:sz w:val="20"/>
                <w:szCs w:val="20"/>
              </w:rPr>
              <w:t xml:space="preserve"> </w:t>
            </w:r>
            <w:r w:rsidRPr="00CA75A2">
              <w:rPr>
                <w:rFonts w:cs="Arial"/>
                <w:spacing w:val="-2"/>
                <w:sz w:val="20"/>
                <w:szCs w:val="20"/>
              </w:rPr>
              <w:t>and</w:t>
            </w:r>
            <w:r w:rsidRPr="00CA75A2">
              <w:rPr>
                <w:rFonts w:cs="Arial"/>
                <w:spacing w:val="-5"/>
                <w:sz w:val="20"/>
                <w:szCs w:val="20"/>
              </w:rPr>
              <w:t xml:space="preserve"> </w:t>
            </w:r>
            <w:r w:rsidRPr="00CA75A2">
              <w:rPr>
                <w:rFonts w:cs="Arial"/>
                <w:spacing w:val="-2"/>
                <w:sz w:val="20"/>
                <w:szCs w:val="20"/>
              </w:rPr>
              <w:t xml:space="preserve">Ascertained </w:t>
            </w:r>
            <w:r w:rsidRPr="00CA75A2">
              <w:rPr>
                <w:rFonts w:cs="Arial"/>
                <w:sz w:val="20"/>
                <w:szCs w:val="20"/>
              </w:rPr>
              <w:t>Damages</w:t>
            </w:r>
            <w:r w:rsidRPr="00CA75A2">
              <w:rPr>
                <w:rFonts w:cs="Arial"/>
                <w:spacing w:val="-16"/>
                <w:sz w:val="20"/>
                <w:szCs w:val="20"/>
              </w:rPr>
              <w:t xml:space="preserve"> </w:t>
            </w:r>
            <w:r w:rsidRPr="00CA75A2">
              <w:rPr>
                <w:rFonts w:cs="Arial"/>
                <w:sz w:val="20"/>
                <w:szCs w:val="20"/>
              </w:rPr>
              <w:t>for</w:t>
            </w:r>
            <w:r w:rsidRPr="00CA75A2">
              <w:rPr>
                <w:rFonts w:cs="Arial"/>
                <w:spacing w:val="-11"/>
                <w:sz w:val="20"/>
                <w:szCs w:val="20"/>
              </w:rPr>
              <w:t xml:space="preserve"> </w:t>
            </w:r>
            <w:r w:rsidRPr="00CA75A2">
              <w:rPr>
                <w:rFonts w:cs="Arial"/>
                <w:sz w:val="20"/>
                <w:szCs w:val="20"/>
              </w:rPr>
              <w:t>Delay</w:t>
            </w:r>
            <w:r w:rsidRPr="00CA75A2">
              <w:rPr>
                <w:rFonts w:cs="Arial"/>
                <w:spacing w:val="-10"/>
                <w:sz w:val="20"/>
                <w:szCs w:val="20"/>
              </w:rPr>
              <w:t xml:space="preserve"> </w:t>
            </w:r>
            <w:r w:rsidRPr="00CA75A2">
              <w:rPr>
                <w:rFonts w:cs="Arial"/>
                <w:spacing w:val="-2"/>
                <w:sz w:val="20"/>
                <w:szCs w:val="20"/>
              </w:rPr>
              <w:t>(LADD)</w:t>
            </w:r>
          </w:p>
        </w:tc>
        <w:tc>
          <w:tcPr>
            <w:tcW w:w="4677" w:type="dxa"/>
          </w:tcPr>
          <w:p w14:paraId="5F77A7A7" w14:textId="47C18A15" w:rsidR="000919BB" w:rsidRPr="00CA75A2" w:rsidRDefault="000919BB" w:rsidP="00CA75A2">
            <w:pPr>
              <w:spacing w:before="60" w:after="60"/>
              <w:rPr>
                <w:rFonts w:cs="Arial"/>
                <w:sz w:val="20"/>
                <w:szCs w:val="20"/>
              </w:rPr>
            </w:pPr>
            <w:r w:rsidRPr="00CA75A2">
              <w:rPr>
                <w:rFonts w:cs="Arial"/>
                <w:sz w:val="20"/>
                <w:szCs w:val="20"/>
              </w:rPr>
              <w:t xml:space="preserve">The market requested to provide principles that will be used to determine when LADDs will be applied and the level at which they will be set, so they know how to price the risk associated with potential LADDs into the fee. Clarifications how delays by others will be managed re costs and delivery of the scope. </w:t>
            </w:r>
          </w:p>
        </w:tc>
      </w:tr>
      <w:tr w:rsidR="000919BB" w:rsidRPr="007B440E" w14:paraId="4D048F4F" w14:textId="77777777" w:rsidTr="00CA75A2">
        <w:tc>
          <w:tcPr>
            <w:tcW w:w="4957" w:type="dxa"/>
          </w:tcPr>
          <w:p w14:paraId="7DFAADE4" w14:textId="77777777" w:rsidR="000919BB" w:rsidRPr="00CA75A2" w:rsidRDefault="000919BB" w:rsidP="00CA75A2">
            <w:pPr>
              <w:spacing w:before="60" w:after="60"/>
              <w:rPr>
                <w:rFonts w:cs="Arial"/>
                <w:sz w:val="20"/>
                <w:szCs w:val="20"/>
              </w:rPr>
            </w:pPr>
            <w:r w:rsidRPr="00CA75A2">
              <w:rPr>
                <w:rFonts w:cs="Arial"/>
                <w:spacing w:val="-2"/>
                <w:sz w:val="20"/>
                <w:szCs w:val="20"/>
              </w:rPr>
              <w:t>Key</w:t>
            </w:r>
            <w:r w:rsidRPr="00CA75A2">
              <w:rPr>
                <w:rFonts w:cs="Arial"/>
                <w:spacing w:val="-6"/>
                <w:sz w:val="20"/>
                <w:szCs w:val="20"/>
              </w:rPr>
              <w:t xml:space="preserve"> </w:t>
            </w:r>
            <w:r w:rsidRPr="00CA75A2">
              <w:rPr>
                <w:rFonts w:cs="Arial"/>
                <w:spacing w:val="-2"/>
                <w:sz w:val="20"/>
                <w:szCs w:val="20"/>
              </w:rPr>
              <w:t>Contractor</w:t>
            </w:r>
            <w:r w:rsidRPr="00CA75A2">
              <w:rPr>
                <w:rFonts w:cs="Arial"/>
                <w:spacing w:val="1"/>
                <w:sz w:val="20"/>
                <w:szCs w:val="20"/>
              </w:rPr>
              <w:t xml:space="preserve"> </w:t>
            </w:r>
            <w:r w:rsidRPr="00CA75A2">
              <w:rPr>
                <w:rFonts w:cs="Arial"/>
                <w:spacing w:val="-4"/>
                <w:sz w:val="20"/>
                <w:szCs w:val="20"/>
              </w:rPr>
              <w:t>Staff</w:t>
            </w:r>
          </w:p>
        </w:tc>
        <w:tc>
          <w:tcPr>
            <w:tcW w:w="4677" w:type="dxa"/>
          </w:tcPr>
          <w:p w14:paraId="0A7F3442" w14:textId="7DB79350" w:rsidR="000919BB" w:rsidRPr="00CA75A2" w:rsidRDefault="000919BB" w:rsidP="00CA75A2">
            <w:pPr>
              <w:spacing w:before="60" w:after="60"/>
              <w:rPr>
                <w:rFonts w:cs="Arial"/>
                <w:sz w:val="20"/>
                <w:szCs w:val="20"/>
              </w:rPr>
            </w:pPr>
            <w:r w:rsidRPr="00CA75A2">
              <w:rPr>
                <w:rFonts w:cs="Arial"/>
                <w:sz w:val="20"/>
                <w:szCs w:val="20"/>
              </w:rPr>
              <w:t>The market believed that the requirement for 3 months of full-time parallel working during transition seems excessive and should rather match the employment basis of the person being replaced.</w:t>
            </w:r>
          </w:p>
        </w:tc>
      </w:tr>
      <w:tr w:rsidR="000919BB" w:rsidRPr="007B440E" w14:paraId="72514A99" w14:textId="77777777" w:rsidTr="00CA75A2">
        <w:tc>
          <w:tcPr>
            <w:tcW w:w="4957" w:type="dxa"/>
          </w:tcPr>
          <w:p w14:paraId="42FAA08B" w14:textId="77777777" w:rsidR="000919BB" w:rsidRPr="00CA75A2" w:rsidRDefault="000919BB" w:rsidP="00CA75A2">
            <w:pPr>
              <w:spacing w:before="60" w:after="60"/>
              <w:rPr>
                <w:rFonts w:cs="Arial"/>
                <w:sz w:val="20"/>
                <w:szCs w:val="20"/>
              </w:rPr>
            </w:pPr>
            <w:r w:rsidRPr="00CA75A2">
              <w:rPr>
                <w:rFonts w:cs="Arial"/>
                <w:spacing w:val="-4"/>
                <w:sz w:val="20"/>
                <w:szCs w:val="20"/>
              </w:rPr>
              <w:t>Defects Date</w:t>
            </w:r>
          </w:p>
        </w:tc>
        <w:tc>
          <w:tcPr>
            <w:tcW w:w="4677" w:type="dxa"/>
          </w:tcPr>
          <w:p w14:paraId="23EDBBFB" w14:textId="77777777" w:rsidR="000919BB" w:rsidRPr="00CA75A2" w:rsidRDefault="000919BB" w:rsidP="00CA75A2">
            <w:pPr>
              <w:spacing w:before="60" w:after="60"/>
              <w:rPr>
                <w:rFonts w:cs="Arial"/>
                <w:sz w:val="20"/>
                <w:szCs w:val="20"/>
              </w:rPr>
            </w:pPr>
            <w:r w:rsidRPr="00CA75A2">
              <w:rPr>
                <w:rFonts w:cs="Arial"/>
                <w:sz w:val="20"/>
                <w:szCs w:val="20"/>
              </w:rPr>
              <w:t xml:space="preserve">No feedback from the market. </w:t>
            </w:r>
          </w:p>
        </w:tc>
      </w:tr>
      <w:tr w:rsidR="000919BB" w:rsidRPr="007B440E" w14:paraId="51503F81" w14:textId="77777777" w:rsidTr="00CA75A2">
        <w:tc>
          <w:tcPr>
            <w:tcW w:w="4957" w:type="dxa"/>
          </w:tcPr>
          <w:p w14:paraId="33A7B530" w14:textId="77777777" w:rsidR="000919BB" w:rsidRPr="00CA75A2" w:rsidRDefault="000919BB" w:rsidP="00CA75A2">
            <w:pPr>
              <w:spacing w:before="60" w:after="60"/>
              <w:rPr>
                <w:rFonts w:cs="Arial"/>
                <w:sz w:val="20"/>
                <w:szCs w:val="20"/>
              </w:rPr>
            </w:pPr>
            <w:r w:rsidRPr="00CA75A2">
              <w:rPr>
                <w:rFonts w:cs="Arial"/>
                <w:spacing w:val="-4"/>
                <w:sz w:val="20"/>
                <w:szCs w:val="20"/>
              </w:rPr>
              <w:t>Parent Company Guarantee (PCG)</w:t>
            </w:r>
          </w:p>
        </w:tc>
        <w:tc>
          <w:tcPr>
            <w:tcW w:w="4677" w:type="dxa"/>
          </w:tcPr>
          <w:p w14:paraId="43DEB19A" w14:textId="77777777" w:rsidR="000919BB" w:rsidRPr="00CA75A2" w:rsidRDefault="000919BB" w:rsidP="00CA75A2">
            <w:pPr>
              <w:spacing w:before="60" w:after="60"/>
              <w:rPr>
                <w:rFonts w:cs="Arial"/>
                <w:sz w:val="20"/>
                <w:szCs w:val="20"/>
              </w:rPr>
            </w:pPr>
            <w:r w:rsidRPr="00CA75A2">
              <w:rPr>
                <w:rFonts w:cs="Arial"/>
                <w:sz w:val="20"/>
                <w:szCs w:val="20"/>
              </w:rPr>
              <w:t>More clarity around the method to assess the financial strength of Parent or Ultimate Parent Company was requested.</w:t>
            </w:r>
          </w:p>
        </w:tc>
      </w:tr>
      <w:tr w:rsidR="000919BB" w:rsidRPr="007B440E" w14:paraId="01B02C0C" w14:textId="77777777" w:rsidTr="00CA75A2">
        <w:tc>
          <w:tcPr>
            <w:tcW w:w="4957" w:type="dxa"/>
          </w:tcPr>
          <w:p w14:paraId="0EA11A8C" w14:textId="77777777" w:rsidR="000919BB" w:rsidRPr="00CA75A2" w:rsidRDefault="000919BB" w:rsidP="00CA75A2">
            <w:pPr>
              <w:spacing w:before="60" w:after="60"/>
              <w:rPr>
                <w:rFonts w:cs="Arial"/>
                <w:sz w:val="20"/>
                <w:szCs w:val="20"/>
              </w:rPr>
            </w:pPr>
            <w:r w:rsidRPr="00CA75A2">
              <w:rPr>
                <w:rFonts w:cs="Arial"/>
                <w:spacing w:val="-4"/>
                <w:sz w:val="20"/>
                <w:szCs w:val="20"/>
              </w:rPr>
              <w:t>Performance Bond</w:t>
            </w:r>
          </w:p>
        </w:tc>
        <w:tc>
          <w:tcPr>
            <w:tcW w:w="4677" w:type="dxa"/>
          </w:tcPr>
          <w:p w14:paraId="4A1E264D" w14:textId="116F21A7" w:rsidR="000919BB" w:rsidRPr="00CA75A2" w:rsidRDefault="000919BB" w:rsidP="00CA75A2">
            <w:pPr>
              <w:spacing w:before="60" w:after="60"/>
              <w:rPr>
                <w:rFonts w:cs="Arial"/>
                <w:sz w:val="20"/>
                <w:szCs w:val="20"/>
              </w:rPr>
            </w:pPr>
            <w:r w:rsidRPr="00CA75A2">
              <w:rPr>
                <w:rFonts w:cs="Arial"/>
                <w:sz w:val="20"/>
                <w:szCs w:val="20"/>
              </w:rPr>
              <w:t>The market requested more clarity on circumstances when the PB will be required, the level at which it would be set (or the principles to calculate this) and the pricing approach for its provision.</w:t>
            </w:r>
          </w:p>
        </w:tc>
      </w:tr>
      <w:tr w:rsidR="000919BB" w:rsidRPr="007B440E" w14:paraId="0C495A66" w14:textId="77777777" w:rsidTr="00CA75A2">
        <w:tc>
          <w:tcPr>
            <w:tcW w:w="4957" w:type="dxa"/>
          </w:tcPr>
          <w:p w14:paraId="5E967431" w14:textId="77777777" w:rsidR="000919BB" w:rsidRPr="00CA75A2" w:rsidRDefault="000919BB" w:rsidP="00CA75A2">
            <w:pPr>
              <w:spacing w:before="60" w:after="60"/>
              <w:rPr>
                <w:rFonts w:cs="Arial"/>
                <w:sz w:val="20"/>
                <w:szCs w:val="20"/>
              </w:rPr>
            </w:pPr>
            <w:r w:rsidRPr="00CA75A2">
              <w:rPr>
                <w:rFonts w:cs="Arial"/>
                <w:spacing w:val="-4"/>
                <w:sz w:val="20"/>
                <w:szCs w:val="20"/>
              </w:rPr>
              <w:t>Payment Terms</w:t>
            </w:r>
          </w:p>
        </w:tc>
        <w:tc>
          <w:tcPr>
            <w:tcW w:w="4677" w:type="dxa"/>
          </w:tcPr>
          <w:p w14:paraId="5604AC0D" w14:textId="67B6D328" w:rsidR="000919BB" w:rsidRPr="00CA75A2" w:rsidRDefault="000919BB" w:rsidP="00CA75A2">
            <w:pPr>
              <w:spacing w:before="60" w:after="60"/>
              <w:rPr>
                <w:rFonts w:cs="Arial"/>
                <w:sz w:val="20"/>
                <w:szCs w:val="20"/>
              </w:rPr>
            </w:pPr>
            <w:r w:rsidRPr="00CA75A2">
              <w:rPr>
                <w:rFonts w:cs="Arial"/>
                <w:sz w:val="20"/>
                <w:szCs w:val="20"/>
              </w:rPr>
              <w:t>No feedback from the market.</w:t>
            </w:r>
          </w:p>
        </w:tc>
      </w:tr>
      <w:tr w:rsidR="000919BB" w:rsidRPr="007B440E" w14:paraId="27E595F4" w14:textId="77777777" w:rsidTr="00CA75A2">
        <w:tc>
          <w:tcPr>
            <w:tcW w:w="4957" w:type="dxa"/>
          </w:tcPr>
          <w:p w14:paraId="751DAF34" w14:textId="77777777" w:rsidR="000919BB" w:rsidRPr="00CA75A2" w:rsidRDefault="000919BB" w:rsidP="00CA75A2">
            <w:pPr>
              <w:spacing w:before="60" w:after="60"/>
              <w:rPr>
                <w:rFonts w:cs="Arial"/>
                <w:sz w:val="20"/>
                <w:szCs w:val="20"/>
              </w:rPr>
            </w:pPr>
            <w:r w:rsidRPr="00CA75A2">
              <w:rPr>
                <w:rFonts w:cs="Arial"/>
                <w:spacing w:val="-4"/>
                <w:sz w:val="20"/>
                <w:szCs w:val="20"/>
              </w:rPr>
              <w:t>Delivery Model Assessment (DMA) / Make or Buy</w:t>
            </w:r>
          </w:p>
        </w:tc>
        <w:tc>
          <w:tcPr>
            <w:tcW w:w="4677" w:type="dxa"/>
          </w:tcPr>
          <w:p w14:paraId="73EEB6BE" w14:textId="473D3F28" w:rsidR="000919BB" w:rsidRPr="00CA75A2" w:rsidRDefault="000919BB" w:rsidP="00CA75A2">
            <w:pPr>
              <w:spacing w:before="60" w:after="60"/>
              <w:rPr>
                <w:rFonts w:cs="Arial"/>
                <w:sz w:val="20"/>
                <w:szCs w:val="20"/>
              </w:rPr>
            </w:pPr>
            <w:r w:rsidRPr="00CA75A2">
              <w:rPr>
                <w:rFonts w:cs="Arial"/>
                <w:sz w:val="20"/>
                <w:szCs w:val="20"/>
              </w:rPr>
              <w:t>The market raised some concerns over fee rules when sole sourcing non-core scope to contractor affiliates e.g. to allow a discounted “subcontractor mark-up fee” when engaging affiliates on a sole source basis.</w:t>
            </w:r>
          </w:p>
        </w:tc>
      </w:tr>
      <w:tr w:rsidR="000919BB" w:rsidRPr="007B440E" w14:paraId="1CC76E2F" w14:textId="77777777" w:rsidTr="00CA75A2">
        <w:tc>
          <w:tcPr>
            <w:tcW w:w="4957" w:type="dxa"/>
            <w:shd w:val="clear" w:color="auto" w:fill="auto"/>
          </w:tcPr>
          <w:p w14:paraId="2DB68018" w14:textId="77777777" w:rsidR="000919BB" w:rsidRPr="00CA75A2" w:rsidRDefault="000919BB" w:rsidP="00CA75A2">
            <w:pPr>
              <w:spacing w:before="60" w:after="60"/>
              <w:rPr>
                <w:rFonts w:cs="Arial"/>
                <w:sz w:val="20"/>
                <w:szCs w:val="20"/>
              </w:rPr>
            </w:pPr>
            <w:r w:rsidRPr="00CA75A2">
              <w:rPr>
                <w:rFonts w:cs="Arial"/>
                <w:spacing w:val="-4"/>
                <w:sz w:val="20"/>
                <w:szCs w:val="20"/>
              </w:rPr>
              <w:t>Method of Reimbursement</w:t>
            </w:r>
          </w:p>
        </w:tc>
        <w:tc>
          <w:tcPr>
            <w:tcW w:w="4677" w:type="dxa"/>
          </w:tcPr>
          <w:p w14:paraId="7D180010" w14:textId="30E4D311" w:rsidR="000919BB" w:rsidRPr="00CA75A2" w:rsidRDefault="000919BB" w:rsidP="00CA75A2">
            <w:pPr>
              <w:spacing w:before="60" w:after="60"/>
              <w:rPr>
                <w:rFonts w:cs="Arial"/>
                <w:sz w:val="20"/>
                <w:szCs w:val="20"/>
              </w:rPr>
            </w:pPr>
            <w:r w:rsidRPr="00CA75A2">
              <w:rPr>
                <w:rFonts w:cs="Arial"/>
                <w:sz w:val="20"/>
                <w:szCs w:val="20"/>
              </w:rPr>
              <w:t xml:space="preserve">The market requested sharing with them the proposed schedule(s) of cost components and information on how overheads will be recovered on Direct Cost. It was also raised that </w:t>
            </w:r>
          </w:p>
        </w:tc>
      </w:tr>
      <w:tr w:rsidR="000919BB" w:rsidRPr="007B440E" w14:paraId="4E25E72F" w14:textId="77777777" w:rsidTr="00CA75A2">
        <w:tc>
          <w:tcPr>
            <w:tcW w:w="4957" w:type="dxa"/>
          </w:tcPr>
          <w:p w14:paraId="29DACB08" w14:textId="77777777" w:rsidR="000919BB" w:rsidRPr="00CA75A2" w:rsidRDefault="000919BB" w:rsidP="00CA75A2">
            <w:pPr>
              <w:spacing w:before="60" w:after="60"/>
              <w:rPr>
                <w:rFonts w:cs="Arial"/>
                <w:sz w:val="20"/>
                <w:szCs w:val="20"/>
              </w:rPr>
            </w:pPr>
            <w:r w:rsidRPr="00CA75A2">
              <w:rPr>
                <w:rFonts w:cs="Arial"/>
                <w:spacing w:val="-4"/>
                <w:sz w:val="20"/>
                <w:szCs w:val="20"/>
              </w:rPr>
              <w:t>KPIs</w:t>
            </w:r>
          </w:p>
        </w:tc>
        <w:tc>
          <w:tcPr>
            <w:tcW w:w="4677" w:type="dxa"/>
          </w:tcPr>
          <w:p w14:paraId="5A8F7FC7" w14:textId="593BF6F4" w:rsidR="000919BB" w:rsidRPr="00CA75A2" w:rsidRDefault="000919BB" w:rsidP="00CA75A2">
            <w:pPr>
              <w:spacing w:before="60" w:after="60"/>
              <w:rPr>
                <w:rFonts w:cs="Arial"/>
                <w:sz w:val="20"/>
                <w:szCs w:val="20"/>
              </w:rPr>
            </w:pPr>
            <w:r w:rsidRPr="00CA75A2">
              <w:rPr>
                <w:rFonts w:cs="Arial"/>
                <w:sz w:val="20"/>
                <w:szCs w:val="20"/>
              </w:rPr>
              <w:t xml:space="preserve">The market requested more clarity on how fee will be related to performance. Also, it was proposed to defer any payment of the element of fee attributable to the overdue KPI report until it is submitted rather than scoring red. </w:t>
            </w:r>
          </w:p>
        </w:tc>
      </w:tr>
      <w:tr w:rsidR="000919BB" w:rsidRPr="007B440E" w14:paraId="187724E8" w14:textId="77777777" w:rsidTr="00CA75A2">
        <w:tc>
          <w:tcPr>
            <w:tcW w:w="4957" w:type="dxa"/>
          </w:tcPr>
          <w:p w14:paraId="1F22D383" w14:textId="77777777" w:rsidR="000919BB" w:rsidRPr="00CA75A2" w:rsidRDefault="000919BB" w:rsidP="00CA75A2">
            <w:pPr>
              <w:spacing w:before="60" w:after="60"/>
              <w:rPr>
                <w:rFonts w:cs="Arial"/>
                <w:sz w:val="20"/>
                <w:szCs w:val="20"/>
              </w:rPr>
            </w:pPr>
            <w:r w:rsidRPr="00CA75A2">
              <w:rPr>
                <w:rFonts w:cs="Arial"/>
                <w:spacing w:val="-2"/>
                <w:sz w:val="20"/>
                <w:szCs w:val="20"/>
              </w:rPr>
              <w:t>Task</w:t>
            </w:r>
            <w:r w:rsidRPr="00CA75A2">
              <w:rPr>
                <w:rFonts w:cs="Arial"/>
                <w:spacing w:val="-9"/>
                <w:sz w:val="20"/>
                <w:szCs w:val="20"/>
              </w:rPr>
              <w:t xml:space="preserve"> </w:t>
            </w:r>
            <w:r w:rsidRPr="00CA75A2">
              <w:rPr>
                <w:rFonts w:cs="Arial"/>
                <w:spacing w:val="-2"/>
                <w:sz w:val="20"/>
                <w:szCs w:val="20"/>
              </w:rPr>
              <w:t>Orders</w:t>
            </w:r>
          </w:p>
        </w:tc>
        <w:tc>
          <w:tcPr>
            <w:tcW w:w="4677" w:type="dxa"/>
          </w:tcPr>
          <w:p w14:paraId="5A73685A" w14:textId="049BA68D" w:rsidR="000919BB" w:rsidRPr="00CA75A2" w:rsidRDefault="000919BB" w:rsidP="00CA75A2">
            <w:pPr>
              <w:spacing w:before="60" w:after="60"/>
              <w:rPr>
                <w:rFonts w:cs="Arial"/>
                <w:sz w:val="20"/>
                <w:szCs w:val="20"/>
              </w:rPr>
            </w:pPr>
            <w:r w:rsidRPr="00CA75A2">
              <w:rPr>
                <w:rFonts w:cs="Arial"/>
                <w:sz w:val="20"/>
                <w:szCs w:val="20"/>
              </w:rPr>
              <w:t xml:space="preserve">The need to enable establishment of project resources by initial task order or via payment in head contract for defined scope was raised by the market. </w:t>
            </w:r>
          </w:p>
        </w:tc>
      </w:tr>
      <w:tr w:rsidR="000919BB" w:rsidRPr="007B440E" w14:paraId="27E4DDE9" w14:textId="77777777" w:rsidTr="00CA75A2">
        <w:tc>
          <w:tcPr>
            <w:tcW w:w="4957" w:type="dxa"/>
          </w:tcPr>
          <w:p w14:paraId="2DCF9473" w14:textId="77777777" w:rsidR="000919BB" w:rsidRPr="00CA75A2" w:rsidRDefault="000919BB" w:rsidP="00CA75A2">
            <w:pPr>
              <w:spacing w:before="60" w:after="60"/>
              <w:rPr>
                <w:rFonts w:cs="Arial"/>
                <w:sz w:val="20"/>
                <w:szCs w:val="20"/>
              </w:rPr>
            </w:pPr>
            <w:r w:rsidRPr="00CA75A2">
              <w:rPr>
                <w:rFonts w:cs="Arial"/>
                <w:spacing w:val="-2"/>
                <w:sz w:val="20"/>
                <w:szCs w:val="20"/>
              </w:rPr>
              <w:t>Completion</w:t>
            </w:r>
            <w:r w:rsidRPr="00CA75A2">
              <w:rPr>
                <w:rFonts w:cs="Arial"/>
                <w:spacing w:val="-8"/>
                <w:sz w:val="20"/>
                <w:szCs w:val="20"/>
              </w:rPr>
              <w:t xml:space="preserve"> </w:t>
            </w:r>
            <w:r w:rsidRPr="00CA75A2">
              <w:rPr>
                <w:rFonts w:cs="Arial"/>
                <w:spacing w:val="-4"/>
                <w:sz w:val="20"/>
                <w:szCs w:val="20"/>
              </w:rPr>
              <w:t>Date</w:t>
            </w:r>
          </w:p>
        </w:tc>
        <w:tc>
          <w:tcPr>
            <w:tcW w:w="4677" w:type="dxa"/>
          </w:tcPr>
          <w:p w14:paraId="0F9D7D84" w14:textId="0E1CA7FD" w:rsidR="000919BB" w:rsidRPr="00CA75A2" w:rsidRDefault="000919BB" w:rsidP="00CA75A2">
            <w:pPr>
              <w:spacing w:before="60" w:after="60"/>
              <w:rPr>
                <w:rFonts w:cs="Arial"/>
                <w:sz w:val="20"/>
                <w:szCs w:val="20"/>
              </w:rPr>
            </w:pPr>
            <w:r w:rsidRPr="00CA75A2">
              <w:rPr>
                <w:rFonts w:cs="Arial"/>
                <w:sz w:val="20"/>
                <w:szCs w:val="20"/>
              </w:rPr>
              <w:t xml:space="preserve">Confirmation was requested whether framework KPIs continue until the completion of the final Task Order. </w:t>
            </w:r>
          </w:p>
        </w:tc>
      </w:tr>
      <w:tr w:rsidR="000919BB" w:rsidRPr="007B440E" w14:paraId="1E31DD67" w14:textId="77777777" w:rsidTr="00CA75A2">
        <w:tc>
          <w:tcPr>
            <w:tcW w:w="4957" w:type="dxa"/>
          </w:tcPr>
          <w:p w14:paraId="12220CE3" w14:textId="77777777" w:rsidR="000919BB" w:rsidRPr="00CA75A2" w:rsidRDefault="000919BB" w:rsidP="00CA75A2">
            <w:pPr>
              <w:spacing w:before="60" w:after="60"/>
              <w:rPr>
                <w:rFonts w:cs="Arial"/>
                <w:sz w:val="20"/>
                <w:szCs w:val="20"/>
              </w:rPr>
            </w:pPr>
            <w:r w:rsidRPr="00CA75A2">
              <w:rPr>
                <w:rFonts w:cs="Arial"/>
                <w:sz w:val="20"/>
                <w:szCs w:val="20"/>
              </w:rPr>
              <w:t>Long</w:t>
            </w:r>
            <w:r w:rsidRPr="00CA75A2">
              <w:rPr>
                <w:rFonts w:cs="Arial"/>
                <w:spacing w:val="-10"/>
                <w:sz w:val="20"/>
                <w:szCs w:val="20"/>
              </w:rPr>
              <w:t xml:space="preserve"> </w:t>
            </w:r>
            <w:r w:rsidRPr="00CA75A2">
              <w:rPr>
                <w:rFonts w:cs="Arial"/>
                <w:sz w:val="20"/>
                <w:szCs w:val="20"/>
              </w:rPr>
              <w:t>Lead</w:t>
            </w:r>
            <w:r w:rsidRPr="00CA75A2">
              <w:rPr>
                <w:rFonts w:cs="Arial"/>
                <w:spacing w:val="-11"/>
                <w:sz w:val="20"/>
                <w:szCs w:val="20"/>
              </w:rPr>
              <w:t xml:space="preserve"> </w:t>
            </w:r>
            <w:r w:rsidRPr="00CA75A2">
              <w:rPr>
                <w:rFonts w:cs="Arial"/>
                <w:sz w:val="20"/>
                <w:szCs w:val="20"/>
              </w:rPr>
              <w:t>Plant</w:t>
            </w:r>
            <w:r w:rsidRPr="00CA75A2">
              <w:rPr>
                <w:rFonts w:cs="Arial"/>
                <w:spacing w:val="-10"/>
                <w:sz w:val="20"/>
                <w:szCs w:val="20"/>
              </w:rPr>
              <w:t xml:space="preserve"> </w:t>
            </w:r>
            <w:r w:rsidRPr="00CA75A2">
              <w:rPr>
                <w:rFonts w:cs="Arial"/>
                <w:sz w:val="20"/>
                <w:szCs w:val="20"/>
              </w:rPr>
              <w:t>&amp;</w:t>
            </w:r>
            <w:r w:rsidRPr="00CA75A2">
              <w:rPr>
                <w:rFonts w:cs="Arial"/>
                <w:spacing w:val="-10"/>
                <w:sz w:val="20"/>
                <w:szCs w:val="20"/>
              </w:rPr>
              <w:t xml:space="preserve"> </w:t>
            </w:r>
            <w:r w:rsidRPr="00CA75A2">
              <w:rPr>
                <w:rFonts w:cs="Arial"/>
                <w:sz w:val="20"/>
                <w:szCs w:val="20"/>
              </w:rPr>
              <w:t>Equipment Procured by NWS</w:t>
            </w:r>
          </w:p>
        </w:tc>
        <w:tc>
          <w:tcPr>
            <w:tcW w:w="4677" w:type="dxa"/>
          </w:tcPr>
          <w:p w14:paraId="3FD6601C" w14:textId="7354659F" w:rsidR="000919BB" w:rsidRPr="00CA75A2" w:rsidRDefault="000919BB" w:rsidP="00CA75A2">
            <w:pPr>
              <w:spacing w:before="60" w:after="60"/>
              <w:rPr>
                <w:rFonts w:cs="Arial"/>
                <w:sz w:val="20"/>
                <w:szCs w:val="20"/>
              </w:rPr>
            </w:pPr>
            <w:r w:rsidRPr="00CA75A2">
              <w:rPr>
                <w:rFonts w:cs="Arial"/>
                <w:sz w:val="20"/>
                <w:szCs w:val="20"/>
              </w:rPr>
              <w:t xml:space="preserve">A full detail of the plant ownership that is intended to be novated/transferred to the Consultant was requested by the market. Possibilities to object to a novation on grounds of e.g. financial strength or insurance levels were also proposed. </w:t>
            </w:r>
          </w:p>
        </w:tc>
      </w:tr>
      <w:tr w:rsidR="000919BB" w:rsidRPr="007B440E" w14:paraId="1A6CE4F0" w14:textId="77777777" w:rsidTr="00CA75A2">
        <w:tc>
          <w:tcPr>
            <w:tcW w:w="4957" w:type="dxa"/>
          </w:tcPr>
          <w:p w14:paraId="7A0779FA" w14:textId="77777777" w:rsidR="000919BB" w:rsidRPr="00CA75A2" w:rsidRDefault="000919BB" w:rsidP="00CA75A2">
            <w:pPr>
              <w:spacing w:before="60" w:after="60"/>
              <w:rPr>
                <w:rFonts w:cs="Arial"/>
                <w:sz w:val="20"/>
                <w:szCs w:val="20"/>
              </w:rPr>
            </w:pPr>
            <w:r w:rsidRPr="00CA75A2">
              <w:rPr>
                <w:rFonts w:cs="Arial"/>
                <w:spacing w:val="-2"/>
                <w:sz w:val="20"/>
                <w:szCs w:val="20"/>
              </w:rPr>
              <w:t>Termination</w:t>
            </w:r>
          </w:p>
        </w:tc>
        <w:tc>
          <w:tcPr>
            <w:tcW w:w="4677" w:type="dxa"/>
          </w:tcPr>
          <w:p w14:paraId="14E11846" w14:textId="6A7BADC3" w:rsidR="000919BB" w:rsidRPr="00CA75A2" w:rsidRDefault="000919BB" w:rsidP="00CA75A2">
            <w:pPr>
              <w:spacing w:before="60" w:after="60"/>
              <w:rPr>
                <w:rFonts w:cs="Arial"/>
                <w:sz w:val="20"/>
                <w:szCs w:val="20"/>
              </w:rPr>
            </w:pPr>
            <w:r w:rsidRPr="00CA75A2">
              <w:rPr>
                <w:rFonts w:cs="Arial"/>
                <w:sz w:val="20"/>
                <w:szCs w:val="20"/>
              </w:rPr>
              <w:t xml:space="preserve">The market requested standard condition regarding grounds for termination to be shared. </w:t>
            </w:r>
          </w:p>
        </w:tc>
      </w:tr>
      <w:tr w:rsidR="000919BB" w:rsidRPr="007B440E" w14:paraId="76A7359F" w14:textId="77777777" w:rsidTr="00CA75A2">
        <w:tc>
          <w:tcPr>
            <w:tcW w:w="4957" w:type="dxa"/>
          </w:tcPr>
          <w:p w14:paraId="5E9784CE" w14:textId="77777777" w:rsidR="000919BB" w:rsidRPr="00CA75A2" w:rsidRDefault="000919BB" w:rsidP="00CA75A2">
            <w:pPr>
              <w:spacing w:before="60" w:after="60"/>
              <w:rPr>
                <w:rFonts w:cs="Arial"/>
                <w:sz w:val="20"/>
                <w:szCs w:val="20"/>
              </w:rPr>
            </w:pPr>
            <w:r w:rsidRPr="00CA75A2">
              <w:rPr>
                <w:rFonts w:cs="Arial"/>
                <w:spacing w:val="-4"/>
                <w:sz w:val="20"/>
                <w:szCs w:val="20"/>
              </w:rPr>
              <w:t>Site</w:t>
            </w:r>
          </w:p>
        </w:tc>
        <w:tc>
          <w:tcPr>
            <w:tcW w:w="4677" w:type="dxa"/>
          </w:tcPr>
          <w:p w14:paraId="18AE6D63" w14:textId="2E89B284" w:rsidR="000919BB" w:rsidRPr="00CA75A2" w:rsidRDefault="000919BB" w:rsidP="00CA75A2">
            <w:pPr>
              <w:spacing w:before="60" w:after="60"/>
              <w:rPr>
                <w:rFonts w:cs="Arial"/>
                <w:sz w:val="20"/>
                <w:szCs w:val="20"/>
              </w:rPr>
            </w:pPr>
            <w:r w:rsidRPr="00CA75A2">
              <w:rPr>
                <w:rFonts w:cs="Arial"/>
                <w:sz w:val="20"/>
                <w:szCs w:val="20"/>
              </w:rPr>
              <w:t xml:space="preserve">The market raised some concerns that if they do not have an overall control of the site, they cannot be responsible other parties working on the Site and interfaces between them and the Consultant. Request to confirm if interfaces include also public parties e.g. fishing industry was raised. </w:t>
            </w:r>
          </w:p>
        </w:tc>
      </w:tr>
      <w:tr w:rsidR="000919BB" w:rsidRPr="007B440E" w14:paraId="59A71632" w14:textId="77777777" w:rsidTr="00CA75A2">
        <w:tc>
          <w:tcPr>
            <w:tcW w:w="4957" w:type="dxa"/>
          </w:tcPr>
          <w:p w14:paraId="07C0F99E" w14:textId="77777777" w:rsidR="000919BB" w:rsidRPr="00CA75A2" w:rsidRDefault="000919BB" w:rsidP="00CA75A2">
            <w:pPr>
              <w:spacing w:before="60" w:after="60"/>
              <w:rPr>
                <w:rFonts w:cs="Arial"/>
                <w:spacing w:val="-4"/>
                <w:sz w:val="20"/>
                <w:szCs w:val="20"/>
              </w:rPr>
            </w:pPr>
            <w:r w:rsidRPr="00CA75A2">
              <w:rPr>
                <w:rFonts w:cs="Arial"/>
                <w:spacing w:val="-2"/>
                <w:sz w:val="20"/>
                <w:szCs w:val="20"/>
              </w:rPr>
              <w:t>Collateral</w:t>
            </w:r>
            <w:r w:rsidRPr="00CA75A2">
              <w:rPr>
                <w:rFonts w:cs="Arial"/>
                <w:spacing w:val="-4"/>
                <w:sz w:val="20"/>
                <w:szCs w:val="20"/>
              </w:rPr>
              <w:t xml:space="preserve"> </w:t>
            </w:r>
            <w:r w:rsidRPr="00CA75A2">
              <w:rPr>
                <w:rFonts w:cs="Arial"/>
                <w:spacing w:val="-2"/>
                <w:sz w:val="20"/>
                <w:szCs w:val="20"/>
              </w:rPr>
              <w:t>Warranties</w:t>
            </w:r>
          </w:p>
        </w:tc>
        <w:tc>
          <w:tcPr>
            <w:tcW w:w="4677" w:type="dxa"/>
          </w:tcPr>
          <w:p w14:paraId="35D22375" w14:textId="3219D054" w:rsidR="000919BB" w:rsidRPr="00CA75A2" w:rsidRDefault="000919BB" w:rsidP="00CA75A2">
            <w:pPr>
              <w:spacing w:before="60" w:after="60"/>
              <w:rPr>
                <w:rFonts w:cs="Arial"/>
                <w:sz w:val="20"/>
                <w:szCs w:val="20"/>
              </w:rPr>
            </w:pPr>
            <w:r w:rsidRPr="00CA75A2">
              <w:rPr>
                <w:rFonts w:cs="Arial"/>
                <w:sz w:val="20"/>
                <w:szCs w:val="20"/>
              </w:rPr>
              <w:t>The market requested to specify the circumstances when the Collateral Warranty will be required and its beneficiaries.</w:t>
            </w:r>
          </w:p>
        </w:tc>
      </w:tr>
      <w:tr w:rsidR="000919BB" w:rsidRPr="007B440E" w14:paraId="0D91F1EB" w14:textId="77777777" w:rsidTr="00CA75A2">
        <w:tc>
          <w:tcPr>
            <w:tcW w:w="4957" w:type="dxa"/>
          </w:tcPr>
          <w:p w14:paraId="20D80B90" w14:textId="12CD5322" w:rsidR="000919BB" w:rsidRPr="00CA75A2" w:rsidRDefault="000919BB" w:rsidP="00CA75A2">
            <w:pPr>
              <w:spacing w:before="60" w:after="60"/>
              <w:rPr>
                <w:rFonts w:cs="Arial"/>
                <w:spacing w:val="-4"/>
                <w:sz w:val="20"/>
                <w:szCs w:val="20"/>
              </w:rPr>
            </w:pPr>
            <w:r w:rsidRPr="00CA75A2">
              <w:rPr>
                <w:rFonts w:cs="Arial"/>
                <w:spacing w:val="-2"/>
                <w:sz w:val="20"/>
                <w:szCs w:val="20"/>
              </w:rPr>
              <w:t>Dispute</w:t>
            </w:r>
            <w:r w:rsidRPr="00CA75A2">
              <w:rPr>
                <w:rFonts w:cs="Arial"/>
                <w:spacing w:val="-6"/>
                <w:sz w:val="20"/>
                <w:szCs w:val="20"/>
              </w:rPr>
              <w:t xml:space="preserve"> </w:t>
            </w:r>
            <w:r w:rsidRPr="00CA75A2">
              <w:rPr>
                <w:rFonts w:cs="Arial"/>
                <w:spacing w:val="-2"/>
                <w:sz w:val="20"/>
                <w:szCs w:val="20"/>
              </w:rPr>
              <w:t>Resolution</w:t>
            </w:r>
            <w:r w:rsidRPr="00CA75A2">
              <w:rPr>
                <w:rFonts w:cs="Arial"/>
                <w:spacing w:val="-3"/>
                <w:sz w:val="20"/>
                <w:szCs w:val="20"/>
              </w:rPr>
              <w:t xml:space="preserve"> </w:t>
            </w:r>
            <w:r w:rsidRPr="00CA75A2">
              <w:rPr>
                <w:rFonts w:cs="Arial"/>
                <w:spacing w:val="-4"/>
                <w:sz w:val="20"/>
                <w:szCs w:val="20"/>
              </w:rPr>
              <w:t>Rules</w:t>
            </w:r>
          </w:p>
        </w:tc>
        <w:tc>
          <w:tcPr>
            <w:tcW w:w="4677" w:type="dxa"/>
          </w:tcPr>
          <w:p w14:paraId="1B4051E1" w14:textId="77777777" w:rsidR="000919BB" w:rsidRPr="00CA75A2" w:rsidRDefault="000919BB" w:rsidP="00CA75A2">
            <w:pPr>
              <w:spacing w:before="60" w:after="60"/>
              <w:rPr>
                <w:rFonts w:cs="Arial"/>
                <w:sz w:val="20"/>
                <w:szCs w:val="20"/>
              </w:rPr>
            </w:pPr>
            <w:r w:rsidRPr="00CA75A2">
              <w:rPr>
                <w:rFonts w:cs="Arial"/>
                <w:sz w:val="20"/>
                <w:szCs w:val="20"/>
              </w:rPr>
              <w:t>No feedback from the market.</w:t>
            </w:r>
          </w:p>
        </w:tc>
      </w:tr>
      <w:tr w:rsidR="000919BB" w:rsidRPr="007B440E" w14:paraId="0E44842B" w14:textId="77777777" w:rsidTr="00CA75A2">
        <w:tc>
          <w:tcPr>
            <w:tcW w:w="4957" w:type="dxa"/>
          </w:tcPr>
          <w:p w14:paraId="32FA7B4B" w14:textId="77777777" w:rsidR="000919BB" w:rsidRPr="00CA75A2" w:rsidRDefault="000919BB" w:rsidP="00CA75A2">
            <w:pPr>
              <w:spacing w:before="60" w:after="60"/>
              <w:rPr>
                <w:rFonts w:cs="Arial"/>
                <w:spacing w:val="-4"/>
                <w:sz w:val="20"/>
                <w:szCs w:val="20"/>
              </w:rPr>
            </w:pPr>
            <w:r w:rsidRPr="00CA75A2">
              <w:rPr>
                <w:rFonts w:cs="Arial"/>
                <w:sz w:val="20"/>
                <w:szCs w:val="20"/>
              </w:rPr>
              <w:t>Key</w:t>
            </w:r>
            <w:r w:rsidRPr="00CA75A2">
              <w:rPr>
                <w:rFonts w:cs="Arial"/>
                <w:spacing w:val="-12"/>
                <w:sz w:val="20"/>
                <w:szCs w:val="20"/>
              </w:rPr>
              <w:t xml:space="preserve"> </w:t>
            </w:r>
            <w:r w:rsidRPr="00CA75A2">
              <w:rPr>
                <w:rFonts w:cs="Arial"/>
                <w:sz w:val="20"/>
                <w:szCs w:val="20"/>
              </w:rPr>
              <w:t>NWS</w:t>
            </w:r>
            <w:r w:rsidRPr="00CA75A2">
              <w:rPr>
                <w:rFonts w:cs="Arial"/>
                <w:spacing w:val="-7"/>
                <w:sz w:val="20"/>
                <w:szCs w:val="20"/>
              </w:rPr>
              <w:t xml:space="preserve"> </w:t>
            </w:r>
            <w:r w:rsidRPr="00CA75A2">
              <w:rPr>
                <w:rFonts w:cs="Arial"/>
                <w:spacing w:val="-2"/>
                <w:sz w:val="20"/>
                <w:szCs w:val="20"/>
              </w:rPr>
              <w:t>Obligations</w:t>
            </w:r>
          </w:p>
        </w:tc>
        <w:tc>
          <w:tcPr>
            <w:tcW w:w="4677" w:type="dxa"/>
          </w:tcPr>
          <w:p w14:paraId="3F85E239" w14:textId="04D04B7C" w:rsidR="000919BB" w:rsidRPr="00CA75A2" w:rsidRDefault="000919BB" w:rsidP="00CA75A2">
            <w:pPr>
              <w:spacing w:before="60" w:after="60"/>
              <w:rPr>
                <w:rFonts w:cs="Arial"/>
                <w:sz w:val="20"/>
                <w:szCs w:val="20"/>
              </w:rPr>
            </w:pPr>
            <w:r w:rsidRPr="00CA75A2">
              <w:rPr>
                <w:rFonts w:cs="Arial"/>
                <w:sz w:val="20"/>
                <w:szCs w:val="20"/>
              </w:rPr>
              <w:t>The market highlighted the need for the Client to warrant the accuracy of any site/design data they provide to the Consultant or at least absolve the Consultant from responsibility for defects/delays/costs caused by inaccuracies.</w:t>
            </w:r>
          </w:p>
        </w:tc>
      </w:tr>
      <w:tr w:rsidR="000919BB" w:rsidRPr="007B440E" w14:paraId="7520938A" w14:textId="77777777" w:rsidTr="00CA75A2">
        <w:tc>
          <w:tcPr>
            <w:tcW w:w="4957" w:type="dxa"/>
          </w:tcPr>
          <w:p w14:paraId="758F28D4" w14:textId="77777777" w:rsidR="000919BB" w:rsidRPr="00CA75A2" w:rsidRDefault="000919BB" w:rsidP="00CA75A2">
            <w:pPr>
              <w:spacing w:before="60" w:after="60"/>
              <w:rPr>
                <w:rFonts w:cs="Arial"/>
                <w:spacing w:val="-4"/>
                <w:sz w:val="20"/>
                <w:szCs w:val="20"/>
              </w:rPr>
            </w:pPr>
            <w:r w:rsidRPr="00CA75A2">
              <w:rPr>
                <w:rFonts w:cs="Arial"/>
                <w:spacing w:val="-2"/>
                <w:sz w:val="20"/>
                <w:szCs w:val="20"/>
              </w:rPr>
              <w:t>Key</w:t>
            </w:r>
            <w:r w:rsidRPr="00CA75A2">
              <w:rPr>
                <w:rFonts w:cs="Arial"/>
                <w:spacing w:val="-12"/>
                <w:sz w:val="20"/>
                <w:szCs w:val="20"/>
              </w:rPr>
              <w:t xml:space="preserve"> </w:t>
            </w:r>
            <w:r w:rsidRPr="00CA75A2">
              <w:rPr>
                <w:rFonts w:cs="Arial"/>
                <w:spacing w:val="-2"/>
                <w:sz w:val="20"/>
                <w:szCs w:val="20"/>
              </w:rPr>
              <w:t>SCDP</w:t>
            </w:r>
            <w:r w:rsidRPr="00CA75A2">
              <w:rPr>
                <w:rFonts w:cs="Arial"/>
                <w:spacing w:val="-13"/>
                <w:sz w:val="20"/>
                <w:szCs w:val="20"/>
              </w:rPr>
              <w:t xml:space="preserve"> </w:t>
            </w:r>
            <w:r w:rsidRPr="00CA75A2">
              <w:rPr>
                <w:rFonts w:cs="Arial"/>
                <w:spacing w:val="-2"/>
                <w:sz w:val="20"/>
                <w:szCs w:val="20"/>
              </w:rPr>
              <w:t>Contractor Obligations</w:t>
            </w:r>
          </w:p>
        </w:tc>
        <w:tc>
          <w:tcPr>
            <w:tcW w:w="4677" w:type="dxa"/>
          </w:tcPr>
          <w:p w14:paraId="101E4A99" w14:textId="77777777" w:rsidR="000919BB" w:rsidRPr="00CA75A2" w:rsidRDefault="000919BB" w:rsidP="00CA75A2">
            <w:pPr>
              <w:spacing w:before="60" w:after="60"/>
              <w:rPr>
                <w:rFonts w:cs="Arial"/>
                <w:sz w:val="20"/>
                <w:szCs w:val="20"/>
              </w:rPr>
            </w:pPr>
            <w:r w:rsidRPr="00CA75A2">
              <w:rPr>
                <w:rFonts w:cs="Arial"/>
                <w:sz w:val="20"/>
                <w:szCs w:val="20"/>
              </w:rPr>
              <w:t xml:space="preserve">The market proposed the entitlement for Compensation Event where the other Client’s contracts impact Consultant’s time and cost. The market also wanted to know Client’s expectations for the Make / Buy split for the scope. </w:t>
            </w:r>
          </w:p>
        </w:tc>
      </w:tr>
      <w:tr w:rsidR="000919BB" w:rsidRPr="007B440E" w14:paraId="34C31FC7" w14:textId="77777777" w:rsidTr="00CA75A2">
        <w:tc>
          <w:tcPr>
            <w:tcW w:w="4957" w:type="dxa"/>
          </w:tcPr>
          <w:p w14:paraId="24D186C0" w14:textId="0BAEC072" w:rsidR="000919BB" w:rsidRPr="00CA75A2" w:rsidRDefault="000919BB" w:rsidP="00CA75A2">
            <w:pPr>
              <w:spacing w:before="60" w:after="60"/>
              <w:rPr>
                <w:rFonts w:cs="Arial"/>
                <w:spacing w:val="-2"/>
                <w:sz w:val="20"/>
                <w:szCs w:val="20"/>
              </w:rPr>
            </w:pPr>
            <w:r w:rsidRPr="00CA75A2">
              <w:rPr>
                <w:rFonts w:cs="Arial"/>
                <w:sz w:val="20"/>
                <w:szCs w:val="20"/>
              </w:rPr>
              <w:t>Consortium</w:t>
            </w:r>
            <w:r w:rsidRPr="00CA75A2">
              <w:rPr>
                <w:rFonts w:cs="Arial"/>
                <w:spacing w:val="-11"/>
                <w:sz w:val="20"/>
                <w:szCs w:val="20"/>
              </w:rPr>
              <w:t xml:space="preserve"> </w:t>
            </w:r>
            <w:r w:rsidRPr="00CA75A2">
              <w:rPr>
                <w:rFonts w:cs="Arial"/>
                <w:sz w:val="20"/>
                <w:szCs w:val="20"/>
              </w:rPr>
              <w:t>or</w:t>
            </w:r>
            <w:r w:rsidRPr="00CA75A2">
              <w:rPr>
                <w:rFonts w:cs="Arial"/>
                <w:spacing w:val="-12"/>
                <w:sz w:val="20"/>
                <w:szCs w:val="20"/>
              </w:rPr>
              <w:t xml:space="preserve"> </w:t>
            </w:r>
            <w:r w:rsidRPr="00CA75A2">
              <w:rPr>
                <w:rFonts w:cs="Arial"/>
                <w:sz w:val="20"/>
                <w:szCs w:val="20"/>
              </w:rPr>
              <w:t>JV</w:t>
            </w:r>
            <w:r w:rsidRPr="00CA75A2">
              <w:rPr>
                <w:rFonts w:cs="Arial"/>
                <w:spacing w:val="-14"/>
                <w:sz w:val="20"/>
                <w:szCs w:val="20"/>
              </w:rPr>
              <w:t xml:space="preserve"> </w:t>
            </w:r>
            <w:r w:rsidRPr="00CA75A2">
              <w:rPr>
                <w:rFonts w:cs="Arial"/>
                <w:spacing w:val="-2"/>
                <w:sz w:val="20"/>
                <w:szCs w:val="20"/>
              </w:rPr>
              <w:t>formation</w:t>
            </w:r>
          </w:p>
        </w:tc>
        <w:tc>
          <w:tcPr>
            <w:tcW w:w="4677" w:type="dxa"/>
          </w:tcPr>
          <w:p w14:paraId="152B2F52" w14:textId="77777777" w:rsidR="000919BB" w:rsidRPr="00CA75A2" w:rsidRDefault="000919BB" w:rsidP="00CA75A2">
            <w:pPr>
              <w:spacing w:before="60" w:after="60"/>
              <w:rPr>
                <w:rFonts w:cs="Arial"/>
                <w:sz w:val="20"/>
                <w:szCs w:val="20"/>
              </w:rPr>
            </w:pPr>
            <w:r w:rsidRPr="00CA75A2">
              <w:rPr>
                <w:rFonts w:cs="Arial"/>
                <w:sz w:val="20"/>
                <w:szCs w:val="20"/>
              </w:rPr>
              <w:t>No feedback from the market.</w:t>
            </w:r>
          </w:p>
        </w:tc>
      </w:tr>
      <w:tr w:rsidR="000919BB" w:rsidRPr="007B440E" w14:paraId="15AE1799" w14:textId="77777777" w:rsidTr="00CA75A2">
        <w:tc>
          <w:tcPr>
            <w:tcW w:w="4957" w:type="dxa"/>
          </w:tcPr>
          <w:p w14:paraId="67AA25A1" w14:textId="46573E0B" w:rsidR="000919BB" w:rsidRPr="00CA75A2" w:rsidRDefault="000919BB" w:rsidP="00CA75A2">
            <w:pPr>
              <w:spacing w:before="60" w:after="60"/>
              <w:rPr>
                <w:rFonts w:cs="Arial"/>
                <w:sz w:val="20"/>
                <w:szCs w:val="20"/>
              </w:rPr>
            </w:pPr>
            <w:r w:rsidRPr="00CA75A2">
              <w:rPr>
                <w:rFonts w:cs="Arial"/>
                <w:spacing w:val="-2"/>
                <w:sz w:val="20"/>
                <w:szCs w:val="20"/>
              </w:rPr>
              <w:t>Procurement</w:t>
            </w:r>
            <w:r w:rsidRPr="00CA75A2">
              <w:rPr>
                <w:rFonts w:cs="Arial"/>
                <w:spacing w:val="-12"/>
                <w:sz w:val="20"/>
                <w:szCs w:val="20"/>
              </w:rPr>
              <w:t xml:space="preserve"> </w:t>
            </w:r>
            <w:r w:rsidRPr="00CA75A2">
              <w:rPr>
                <w:rFonts w:cs="Arial"/>
                <w:spacing w:val="-2"/>
                <w:sz w:val="20"/>
                <w:szCs w:val="20"/>
              </w:rPr>
              <w:t>Procedure</w:t>
            </w:r>
            <w:r w:rsidRPr="00CA75A2">
              <w:rPr>
                <w:rFonts w:cs="Arial"/>
                <w:spacing w:val="-12"/>
                <w:sz w:val="20"/>
                <w:szCs w:val="20"/>
              </w:rPr>
              <w:t xml:space="preserve"> </w:t>
            </w:r>
            <w:r w:rsidRPr="00CA75A2">
              <w:rPr>
                <w:rFonts w:cs="Arial"/>
                <w:spacing w:val="-2"/>
                <w:sz w:val="20"/>
                <w:szCs w:val="20"/>
              </w:rPr>
              <w:t xml:space="preserve">under </w:t>
            </w:r>
            <w:r w:rsidRPr="00CA75A2">
              <w:rPr>
                <w:rFonts w:cs="Arial"/>
                <w:sz w:val="20"/>
                <w:szCs w:val="20"/>
              </w:rPr>
              <w:t>Public Contracts Regulations</w:t>
            </w:r>
          </w:p>
        </w:tc>
        <w:tc>
          <w:tcPr>
            <w:tcW w:w="4677" w:type="dxa"/>
          </w:tcPr>
          <w:p w14:paraId="057286E8" w14:textId="77777777" w:rsidR="000919BB" w:rsidRPr="00CA75A2" w:rsidRDefault="000919BB" w:rsidP="00CA75A2">
            <w:pPr>
              <w:spacing w:before="60" w:after="60"/>
              <w:rPr>
                <w:rFonts w:cs="Arial"/>
                <w:sz w:val="20"/>
                <w:szCs w:val="20"/>
              </w:rPr>
            </w:pPr>
            <w:r w:rsidRPr="00CA75A2">
              <w:rPr>
                <w:rFonts w:cs="Arial"/>
                <w:sz w:val="20"/>
                <w:szCs w:val="20"/>
              </w:rPr>
              <w:t>No feedback from the market.</w:t>
            </w:r>
          </w:p>
        </w:tc>
      </w:tr>
      <w:tr w:rsidR="000919BB" w:rsidRPr="007B440E" w14:paraId="49332F6A" w14:textId="77777777" w:rsidTr="00CA75A2">
        <w:tc>
          <w:tcPr>
            <w:tcW w:w="4957" w:type="dxa"/>
          </w:tcPr>
          <w:p w14:paraId="52CC0D97" w14:textId="77777777" w:rsidR="000919BB" w:rsidRPr="00CA75A2" w:rsidRDefault="000919BB" w:rsidP="00CA75A2">
            <w:pPr>
              <w:spacing w:before="60" w:after="60"/>
              <w:rPr>
                <w:rFonts w:cs="Arial"/>
                <w:spacing w:val="-4"/>
                <w:sz w:val="20"/>
                <w:szCs w:val="20"/>
              </w:rPr>
            </w:pPr>
            <w:r w:rsidRPr="00CA75A2">
              <w:rPr>
                <w:rFonts w:cs="Arial"/>
                <w:spacing w:val="-2"/>
                <w:sz w:val="20"/>
                <w:szCs w:val="20"/>
              </w:rPr>
              <w:t>Market</w:t>
            </w:r>
            <w:r w:rsidRPr="00CA75A2">
              <w:rPr>
                <w:rFonts w:cs="Arial"/>
                <w:spacing w:val="-7"/>
                <w:sz w:val="20"/>
                <w:szCs w:val="20"/>
              </w:rPr>
              <w:t xml:space="preserve"> </w:t>
            </w:r>
            <w:r w:rsidRPr="00CA75A2">
              <w:rPr>
                <w:rFonts w:cs="Arial"/>
                <w:spacing w:val="-2"/>
                <w:sz w:val="20"/>
                <w:szCs w:val="20"/>
              </w:rPr>
              <w:t>Engagement</w:t>
            </w:r>
          </w:p>
        </w:tc>
        <w:tc>
          <w:tcPr>
            <w:tcW w:w="4677" w:type="dxa"/>
          </w:tcPr>
          <w:p w14:paraId="17A25212" w14:textId="37B22169" w:rsidR="000919BB" w:rsidRPr="00CA75A2" w:rsidRDefault="000919BB" w:rsidP="00CA75A2">
            <w:pPr>
              <w:spacing w:before="60" w:after="60"/>
              <w:rPr>
                <w:rFonts w:cs="Arial"/>
                <w:sz w:val="20"/>
                <w:szCs w:val="20"/>
              </w:rPr>
            </w:pPr>
            <w:r w:rsidRPr="00CA75A2">
              <w:rPr>
                <w:rFonts w:cs="Arial"/>
                <w:sz w:val="20"/>
                <w:szCs w:val="20"/>
              </w:rPr>
              <w:t xml:space="preserve">The market believed that the further market engagements should take place and ensure there is no inconsistency between various documents. </w:t>
            </w:r>
          </w:p>
        </w:tc>
      </w:tr>
      <w:tr w:rsidR="000919BB" w:rsidRPr="007B440E" w14:paraId="28E96303" w14:textId="77777777" w:rsidTr="00CA75A2">
        <w:tc>
          <w:tcPr>
            <w:tcW w:w="4957" w:type="dxa"/>
          </w:tcPr>
          <w:p w14:paraId="4BAEDC29" w14:textId="77777777" w:rsidR="000919BB" w:rsidRPr="00CA75A2" w:rsidRDefault="000919BB" w:rsidP="00CA75A2">
            <w:pPr>
              <w:spacing w:before="60" w:after="60"/>
              <w:rPr>
                <w:rFonts w:cs="Arial"/>
                <w:spacing w:val="-2"/>
                <w:sz w:val="20"/>
                <w:szCs w:val="20"/>
              </w:rPr>
            </w:pPr>
            <w:r w:rsidRPr="00CA75A2">
              <w:rPr>
                <w:rFonts w:cs="Arial"/>
                <w:spacing w:val="-2"/>
                <w:sz w:val="20"/>
                <w:szCs w:val="20"/>
              </w:rPr>
              <w:t>Supplier</w:t>
            </w:r>
            <w:r w:rsidRPr="00CA75A2">
              <w:rPr>
                <w:rFonts w:cs="Arial"/>
                <w:spacing w:val="6"/>
                <w:sz w:val="20"/>
                <w:szCs w:val="20"/>
              </w:rPr>
              <w:t xml:space="preserve"> </w:t>
            </w:r>
            <w:r w:rsidRPr="00CA75A2">
              <w:rPr>
                <w:rFonts w:cs="Arial"/>
                <w:spacing w:val="-2"/>
                <w:sz w:val="20"/>
                <w:szCs w:val="20"/>
              </w:rPr>
              <w:t>Questionnaire</w:t>
            </w:r>
            <w:r w:rsidRPr="00CA75A2">
              <w:rPr>
                <w:rFonts w:cs="Arial"/>
                <w:spacing w:val="7"/>
                <w:sz w:val="20"/>
                <w:szCs w:val="20"/>
              </w:rPr>
              <w:t xml:space="preserve"> </w:t>
            </w:r>
            <w:r w:rsidRPr="00CA75A2">
              <w:rPr>
                <w:rFonts w:cs="Arial"/>
                <w:spacing w:val="-4"/>
                <w:sz w:val="20"/>
                <w:szCs w:val="20"/>
              </w:rPr>
              <w:t>(SQ)</w:t>
            </w:r>
          </w:p>
        </w:tc>
        <w:tc>
          <w:tcPr>
            <w:tcW w:w="4677" w:type="dxa"/>
          </w:tcPr>
          <w:p w14:paraId="6A99CA0E" w14:textId="1490D302" w:rsidR="000919BB" w:rsidRPr="00CA75A2" w:rsidRDefault="000919BB" w:rsidP="00CA75A2">
            <w:pPr>
              <w:spacing w:before="60" w:after="60"/>
              <w:rPr>
                <w:rFonts w:cs="Arial"/>
                <w:sz w:val="20"/>
                <w:szCs w:val="20"/>
              </w:rPr>
            </w:pPr>
            <w:r w:rsidRPr="00CA75A2">
              <w:rPr>
                <w:rFonts w:cs="Arial"/>
                <w:sz w:val="20"/>
                <w:szCs w:val="20"/>
              </w:rPr>
              <w:t>The market asked if the case studies that relate to overseas projects will be acceptable. Also, the market wanted to know if they will be requested as a part of SQ to provide evidence of their proposed supply chain having performed or having the ability to perform characterisation works.</w:t>
            </w:r>
          </w:p>
        </w:tc>
      </w:tr>
      <w:tr w:rsidR="000919BB" w:rsidRPr="007B440E" w14:paraId="123C288F" w14:textId="77777777" w:rsidTr="00CA75A2">
        <w:tc>
          <w:tcPr>
            <w:tcW w:w="4957" w:type="dxa"/>
          </w:tcPr>
          <w:p w14:paraId="1C884175" w14:textId="77777777" w:rsidR="000919BB" w:rsidRPr="00CA75A2" w:rsidRDefault="000919BB" w:rsidP="00CA75A2">
            <w:pPr>
              <w:spacing w:before="60" w:after="60"/>
              <w:rPr>
                <w:rFonts w:cs="Arial"/>
                <w:spacing w:val="-2"/>
                <w:sz w:val="20"/>
                <w:szCs w:val="20"/>
              </w:rPr>
            </w:pPr>
            <w:r w:rsidRPr="00CA75A2">
              <w:rPr>
                <w:rFonts w:cs="Arial"/>
                <w:spacing w:val="-2"/>
                <w:sz w:val="20"/>
                <w:szCs w:val="20"/>
              </w:rPr>
              <w:t xml:space="preserve">Contract Award Criteria </w:t>
            </w:r>
          </w:p>
        </w:tc>
        <w:tc>
          <w:tcPr>
            <w:tcW w:w="4677" w:type="dxa"/>
          </w:tcPr>
          <w:p w14:paraId="7476F259" w14:textId="4B77CB28" w:rsidR="000919BB" w:rsidRPr="00CA75A2" w:rsidRDefault="000919BB" w:rsidP="00CA75A2">
            <w:pPr>
              <w:spacing w:before="60" w:after="60"/>
              <w:rPr>
                <w:rFonts w:cs="Arial"/>
                <w:sz w:val="20"/>
                <w:szCs w:val="20"/>
              </w:rPr>
            </w:pPr>
            <w:r w:rsidRPr="00CA75A2">
              <w:rPr>
                <w:rFonts w:cs="Arial"/>
                <w:sz w:val="20"/>
                <w:szCs w:val="20"/>
              </w:rPr>
              <w:t xml:space="preserve">The market asked for more clarity on how the ‘Rates, Overhead &amp; Fee’ element will be evaluated. Also, confirmation was requested if procurement process will include an interview / presentation and if so, how much of the evaluation criteria weighting will be allocated to it. A suggestion to include Collaborative Behaviour Assessment in addition to the interviews. </w:t>
            </w:r>
          </w:p>
        </w:tc>
      </w:tr>
    </w:tbl>
    <w:p w14:paraId="58322BCA" w14:textId="1B9FE358" w:rsidR="0071305A" w:rsidRDefault="00100282" w:rsidP="00CA75A2">
      <w:pPr>
        <w:pStyle w:val="Caption"/>
      </w:pPr>
      <w:bookmarkStart w:id="11" w:name="_Toc202532937"/>
      <w:r>
        <w:t xml:space="preserve">Table </w:t>
      </w:r>
      <w:r w:rsidR="00A057CC">
        <w:fldChar w:fldCharType="begin"/>
      </w:r>
      <w:r w:rsidR="00A057CC">
        <w:instrText xml:space="preserve"> SEQ Table \* ARABIC </w:instrText>
      </w:r>
      <w:r w:rsidR="00A057CC">
        <w:fldChar w:fldCharType="separate"/>
      </w:r>
      <w:r w:rsidR="00A057CC">
        <w:rPr>
          <w:noProof/>
        </w:rPr>
        <w:t>3</w:t>
      </w:r>
      <w:r w:rsidR="00A057CC">
        <w:rPr>
          <w:noProof/>
        </w:rPr>
        <w:fldChar w:fldCharType="end"/>
      </w:r>
      <w:r>
        <w:t>:</w:t>
      </w:r>
      <w:r w:rsidR="00C70DAE">
        <w:t xml:space="preserve"> </w:t>
      </w:r>
      <w:r w:rsidR="00C70DAE" w:rsidRPr="00C70DAE">
        <w:t>SCDP Contracting and Competition Principles Document</w:t>
      </w:r>
      <w:r w:rsidR="00C70DAE">
        <w:t xml:space="preserve"> Market Feedback</w:t>
      </w:r>
      <w:bookmarkEnd w:id="11"/>
    </w:p>
    <w:p w14:paraId="3F59B86C" w14:textId="77777777" w:rsidR="0071305A" w:rsidRDefault="0071305A" w:rsidP="0071305A"/>
    <w:p w14:paraId="049A9A55" w14:textId="77777777" w:rsidR="0071305A" w:rsidRPr="0071305A" w:rsidRDefault="0071305A" w:rsidP="0071305A"/>
    <w:p w14:paraId="19C2ECFA" w14:textId="77777777" w:rsidR="002C044B" w:rsidRDefault="002C044B" w:rsidP="002C044B"/>
    <w:p w14:paraId="3A057B0B" w14:textId="35BBEB14" w:rsidR="00427DDC" w:rsidRDefault="001067A0" w:rsidP="00427DDC">
      <w:pPr>
        <w:pStyle w:val="Heading11"/>
      </w:pPr>
      <w:bookmarkStart w:id="12" w:name="_Toc202532931"/>
      <w:r w:rsidRPr="001067A0">
        <w:t xml:space="preserve">Market Engagement: Online </w:t>
      </w:r>
      <w:r w:rsidR="00955A9D">
        <w:t>E</w:t>
      </w:r>
      <w:r w:rsidRPr="001067A0">
        <w:t xml:space="preserve">ngagement </w:t>
      </w:r>
      <w:r w:rsidR="00955A9D">
        <w:t>S</w:t>
      </w:r>
      <w:r w:rsidRPr="001067A0">
        <w:t>essions</w:t>
      </w:r>
      <w:bookmarkEnd w:id="12"/>
    </w:p>
    <w:p w14:paraId="52FFF3F5" w14:textId="4C30D95E" w:rsidR="00626628" w:rsidRDefault="00626628" w:rsidP="00626628">
      <w:pPr>
        <w:rPr>
          <w:lang w:eastAsia="en-GB"/>
        </w:rPr>
      </w:pPr>
      <w:r>
        <w:rPr>
          <w:lang w:eastAsia="en-GB"/>
        </w:rPr>
        <w:t>Date of Market Engagement: July 2024</w:t>
      </w:r>
    </w:p>
    <w:p w14:paraId="403EE03C" w14:textId="77777777" w:rsidR="00626628" w:rsidRDefault="00626628" w:rsidP="00626628">
      <w:pPr>
        <w:rPr>
          <w:lang w:eastAsia="en-GB"/>
        </w:rPr>
      </w:pPr>
      <w:r>
        <w:rPr>
          <w:lang w:eastAsia="en-GB"/>
        </w:rPr>
        <w:t xml:space="preserve">Location of Market Engagement: via Microsoft Teams </w:t>
      </w:r>
    </w:p>
    <w:p w14:paraId="472D3CA8" w14:textId="77777777" w:rsidR="00626628" w:rsidRDefault="00626628" w:rsidP="00626628">
      <w:pPr>
        <w:rPr>
          <w:lang w:eastAsia="en-GB"/>
        </w:rPr>
      </w:pPr>
      <w:r>
        <w:rPr>
          <w:lang w:eastAsia="en-GB"/>
        </w:rPr>
        <w:t>NWS Attendees: Andrew Batstone, Chris Eldred, Owen David</w:t>
      </w:r>
    </w:p>
    <w:p w14:paraId="2D7CD139" w14:textId="30767D11" w:rsidR="00626628" w:rsidRDefault="00626628" w:rsidP="00626628">
      <w:pPr>
        <w:rPr>
          <w:lang w:eastAsia="en-GB"/>
        </w:rPr>
      </w:pPr>
      <w:r>
        <w:rPr>
          <w:lang w:eastAsia="en-GB"/>
        </w:rPr>
        <w:t xml:space="preserve">How organisations were invited: online invitations </w:t>
      </w:r>
      <w:r w:rsidR="001F1DB5">
        <w:rPr>
          <w:lang w:eastAsia="en-GB"/>
        </w:rPr>
        <w:t>to all previous companies who had participated in previous market engagement</w:t>
      </w:r>
      <w:r w:rsidR="00E36610">
        <w:rPr>
          <w:lang w:eastAsia="en-GB"/>
        </w:rPr>
        <w:t>.</w:t>
      </w:r>
    </w:p>
    <w:p w14:paraId="28734988" w14:textId="77777777" w:rsidR="00626628" w:rsidRDefault="00626628" w:rsidP="00626628">
      <w:pPr>
        <w:rPr>
          <w:lang w:eastAsia="en-GB"/>
        </w:rPr>
      </w:pPr>
      <w:r>
        <w:rPr>
          <w:lang w:eastAsia="en-GB"/>
        </w:rPr>
        <w:t xml:space="preserve">Documents circulated prior to the meetings: </w:t>
      </w:r>
    </w:p>
    <w:p w14:paraId="69D8A75E" w14:textId="0AC41ECE" w:rsidR="00626628" w:rsidRDefault="00626628" w:rsidP="00CA75A2">
      <w:pPr>
        <w:pStyle w:val="ListParagraph"/>
        <w:numPr>
          <w:ilvl w:val="0"/>
          <w:numId w:val="25"/>
        </w:numPr>
        <w:ind w:left="714" w:hanging="357"/>
        <w:contextualSpacing w:val="0"/>
        <w:rPr>
          <w:lang w:eastAsia="en-GB"/>
        </w:rPr>
      </w:pPr>
      <w:r>
        <w:rPr>
          <w:lang w:eastAsia="en-GB"/>
        </w:rPr>
        <w:t xml:space="preserve">NWS Site Characterisation Supply Chain Presentation Updated Model </w:t>
      </w:r>
    </w:p>
    <w:p w14:paraId="1DA1ADA4" w14:textId="58ACC0EC" w:rsidR="00626628" w:rsidRDefault="00626628" w:rsidP="00CA75A2">
      <w:pPr>
        <w:pStyle w:val="ListParagraph"/>
        <w:numPr>
          <w:ilvl w:val="0"/>
          <w:numId w:val="25"/>
        </w:numPr>
        <w:ind w:left="714" w:hanging="357"/>
        <w:contextualSpacing w:val="0"/>
        <w:rPr>
          <w:lang w:eastAsia="en-GB"/>
        </w:rPr>
      </w:pPr>
      <w:r>
        <w:rPr>
          <w:lang w:eastAsia="en-GB"/>
        </w:rPr>
        <w:t>Presentation slides showing the split of the organisation and the responsibilities of the SCDP</w:t>
      </w:r>
    </w:p>
    <w:p w14:paraId="5E8F3183" w14:textId="5406552B" w:rsidR="00626628" w:rsidRDefault="00626628" w:rsidP="00626628">
      <w:pPr>
        <w:rPr>
          <w:lang w:eastAsia="en-GB"/>
        </w:rPr>
      </w:pPr>
      <w:r>
        <w:rPr>
          <w:lang w:eastAsia="en-GB"/>
        </w:rPr>
        <w:t xml:space="preserve">The purpose of those short sessions was primarily to update the market on the Delivery Model, Scope and Contracting Structure, Incentive Models, Route to Market and Evaluation Criteria and Weighting. No </w:t>
      </w:r>
      <w:r w:rsidR="00E36610">
        <w:rPr>
          <w:lang w:eastAsia="en-GB"/>
        </w:rPr>
        <w:t xml:space="preserve">individual formal </w:t>
      </w:r>
      <w:r>
        <w:rPr>
          <w:lang w:eastAsia="en-GB"/>
        </w:rPr>
        <w:t xml:space="preserve">feedback was captured from the sessions. </w:t>
      </w:r>
    </w:p>
    <w:p w14:paraId="32383339" w14:textId="4F375EF0" w:rsidR="001067A0" w:rsidRDefault="00626628" w:rsidP="00626628">
      <w:pPr>
        <w:rPr>
          <w:lang w:eastAsia="en-GB"/>
        </w:rPr>
      </w:pPr>
      <w:r>
        <w:rPr>
          <w:lang w:eastAsia="en-GB"/>
        </w:rPr>
        <w:t>The market felt that there were clearer lines between the SCDP gaining full responsibility for their own work and the management responsibility for the other contracts. The model presented was also a reflection of how a Professional Services Contract (PSC) rather than a primarily PSC but with elements of Engineering Construction Contract (ECC).  This methodology is more recognised by the market and would improve the quality being delivered. The</w:t>
      </w:r>
      <w:r w:rsidR="00E72F2A">
        <w:rPr>
          <w:lang w:eastAsia="en-GB"/>
        </w:rPr>
        <w:t xml:space="preserve"> NWS</w:t>
      </w:r>
      <w:r>
        <w:rPr>
          <w:lang w:eastAsia="en-GB"/>
        </w:rPr>
        <w:t xml:space="preserve"> presentation also reflected a change from carrying out mini-D</w:t>
      </w:r>
      <w:r w:rsidR="00E72F2A">
        <w:rPr>
          <w:lang w:eastAsia="en-GB"/>
        </w:rPr>
        <w:t xml:space="preserve">elivery </w:t>
      </w:r>
      <w:r>
        <w:rPr>
          <w:lang w:eastAsia="en-GB"/>
        </w:rPr>
        <w:t>M</w:t>
      </w:r>
      <w:r w:rsidR="00E72F2A">
        <w:rPr>
          <w:lang w:eastAsia="en-GB"/>
        </w:rPr>
        <w:t xml:space="preserve">odel </w:t>
      </w:r>
      <w:r>
        <w:rPr>
          <w:lang w:eastAsia="en-GB"/>
        </w:rPr>
        <w:t>As</w:t>
      </w:r>
      <w:r w:rsidR="00E72F2A">
        <w:rPr>
          <w:lang w:eastAsia="en-GB"/>
        </w:rPr>
        <w:t>sessments</w:t>
      </w:r>
      <w:r>
        <w:rPr>
          <w:lang w:eastAsia="en-GB"/>
        </w:rPr>
        <w:t xml:space="preserve"> to a Procurement Service, </w:t>
      </w:r>
      <w:r w:rsidR="005A6F93">
        <w:rPr>
          <w:lang w:eastAsia="en-GB"/>
        </w:rPr>
        <w:t xml:space="preserve">the </w:t>
      </w:r>
      <w:r>
        <w:rPr>
          <w:lang w:eastAsia="en-GB"/>
        </w:rPr>
        <w:t>market liked this flexibility within the contract. A simplified incentive pyramid was shown and discussed, which was well received by the market and thought would bring greater clarity. Clarity on the P</w:t>
      </w:r>
      <w:r w:rsidR="005A6F93">
        <w:rPr>
          <w:lang w:eastAsia="en-GB"/>
        </w:rPr>
        <w:t xml:space="preserve">rocurement </w:t>
      </w:r>
      <w:r>
        <w:rPr>
          <w:lang w:eastAsia="en-GB"/>
        </w:rPr>
        <w:t>A</w:t>
      </w:r>
      <w:r w:rsidR="005A6F93">
        <w:rPr>
          <w:lang w:eastAsia="en-GB"/>
        </w:rPr>
        <w:t>ct 20</w:t>
      </w:r>
      <w:r>
        <w:rPr>
          <w:lang w:eastAsia="en-GB"/>
        </w:rPr>
        <w:t>23 changes and draft evaluation criteria were presented to update the market on how changes to procurement legislation would be managed.</w:t>
      </w:r>
    </w:p>
    <w:p w14:paraId="467862C8" w14:textId="0CE9D60A" w:rsidR="001067A0" w:rsidRDefault="00955A9D" w:rsidP="00955A9D">
      <w:pPr>
        <w:pStyle w:val="Heading11"/>
      </w:pPr>
      <w:bookmarkStart w:id="13" w:name="_Toc202532932"/>
      <w:r w:rsidRPr="00955A9D">
        <w:t xml:space="preserve">Market Engagement: 1-2-1 </w:t>
      </w:r>
      <w:r>
        <w:t>E</w:t>
      </w:r>
      <w:r w:rsidRPr="00955A9D">
        <w:t xml:space="preserve">ngagement </w:t>
      </w:r>
      <w:r>
        <w:t>S</w:t>
      </w:r>
      <w:r w:rsidRPr="00955A9D">
        <w:t>essions</w:t>
      </w:r>
      <w:r w:rsidR="00F377FA">
        <w:t xml:space="preserve"> Nov 2024</w:t>
      </w:r>
      <w:bookmarkEnd w:id="13"/>
    </w:p>
    <w:p w14:paraId="18064008" w14:textId="77777777" w:rsidR="009E0123" w:rsidRDefault="009E0123" w:rsidP="009E0123">
      <w:r>
        <w:t xml:space="preserve">Date of Market Engagement: 4th – 8th November 2024 </w:t>
      </w:r>
    </w:p>
    <w:p w14:paraId="42D32183" w14:textId="77777777" w:rsidR="009E0123" w:rsidRDefault="009E0123" w:rsidP="009E0123">
      <w:r>
        <w:t xml:space="preserve">Location of Market Engagement: London DLA Piper offices </w:t>
      </w:r>
    </w:p>
    <w:p w14:paraId="38B977AE" w14:textId="77777777" w:rsidR="009E0123" w:rsidRDefault="009E0123" w:rsidP="009E0123">
      <w:r>
        <w:t>NWS Attendees: Andrew Batstone, Chris Eldred, Owen David, Piotr Bednarski</w:t>
      </w:r>
    </w:p>
    <w:p w14:paraId="3E3126ED" w14:textId="77777777" w:rsidR="009E0123" w:rsidRDefault="009E0123" w:rsidP="009E0123">
      <w:r>
        <w:t>How organisations were invited: PIN Notice ref: 2024-910232</w:t>
      </w:r>
    </w:p>
    <w:p w14:paraId="7EAF2E55" w14:textId="77777777" w:rsidR="009E0123" w:rsidRDefault="009E0123" w:rsidP="009E0123">
      <w:r>
        <w:t xml:space="preserve">Documents circulated prior to the meetings: </w:t>
      </w:r>
    </w:p>
    <w:p w14:paraId="219163B9" w14:textId="2F469D36" w:rsidR="009E0123" w:rsidRDefault="009E0123" w:rsidP="00CA75A2">
      <w:pPr>
        <w:pStyle w:val="ListParagraph"/>
        <w:numPr>
          <w:ilvl w:val="0"/>
          <w:numId w:val="27"/>
        </w:numPr>
        <w:ind w:left="714" w:hanging="357"/>
        <w:contextualSpacing w:val="0"/>
      </w:pPr>
      <w:r>
        <w:t xml:space="preserve">SCDP Contracting and Competition Principles Document V2 </w:t>
      </w:r>
    </w:p>
    <w:p w14:paraId="00490320" w14:textId="57B88D0D" w:rsidR="00BF5FEC" w:rsidRPr="00BF5FEC" w:rsidRDefault="009E0123" w:rsidP="00CA75A2">
      <w:pPr>
        <w:pStyle w:val="ListParagraph"/>
        <w:numPr>
          <w:ilvl w:val="0"/>
          <w:numId w:val="27"/>
        </w:numPr>
        <w:ind w:left="714" w:hanging="357"/>
        <w:contextualSpacing w:val="0"/>
      </w:pPr>
      <w:r>
        <w:t>Self-Funded Incentive (SFI) Handbook</w:t>
      </w:r>
    </w:p>
    <w:p w14:paraId="0AE00FB4" w14:textId="28708DD3" w:rsidR="00BF5FEC" w:rsidRDefault="0077164D" w:rsidP="00CA75A2">
      <w:pPr>
        <w:pStyle w:val="Heading21"/>
      </w:pPr>
      <w:bookmarkStart w:id="14" w:name="_Toc202532933"/>
      <w:r w:rsidRPr="0077164D">
        <w:t>Contracting and Competition Principles Document</w:t>
      </w:r>
      <w:bookmarkEnd w:id="14"/>
    </w:p>
    <w:tbl>
      <w:tblPr>
        <w:tblW w:w="10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
        <w:gridCol w:w="966"/>
        <w:gridCol w:w="4530"/>
        <w:gridCol w:w="4677"/>
      </w:tblGrid>
      <w:tr w:rsidR="00491804" w:rsidRPr="002C7B4F" w14:paraId="54C787F7" w14:textId="77777777" w:rsidTr="00491804">
        <w:trPr>
          <w:gridBefore w:val="1"/>
          <w:wBefore w:w="6" w:type="dxa"/>
          <w:trHeight w:val="309"/>
          <w:tblHeader/>
          <w:jc w:val="center"/>
        </w:trPr>
        <w:tc>
          <w:tcPr>
            <w:tcW w:w="966" w:type="dxa"/>
            <w:shd w:val="clear" w:color="auto" w:fill="004846"/>
            <w:tcMar>
              <w:top w:w="57" w:type="dxa"/>
              <w:left w:w="57" w:type="dxa"/>
              <w:bottom w:w="57" w:type="dxa"/>
              <w:right w:w="57" w:type="dxa"/>
            </w:tcMar>
            <w:vAlign w:val="center"/>
          </w:tcPr>
          <w:p w14:paraId="4593FF21" w14:textId="77777777" w:rsidR="002C7B4F" w:rsidRPr="00CA75A2" w:rsidRDefault="002C7B4F" w:rsidP="00CA75A2">
            <w:pPr>
              <w:widowControl w:val="0"/>
              <w:pBdr>
                <w:top w:val="nil"/>
                <w:left w:val="nil"/>
                <w:bottom w:val="nil"/>
                <w:right w:val="nil"/>
                <w:between w:val="nil"/>
              </w:pBdr>
              <w:ind w:left="108"/>
              <w:jc w:val="center"/>
              <w:rPr>
                <w:rFonts w:eastAsia="Arial" w:cs="Arial"/>
                <w:b/>
                <w:color w:val="FFFFFF" w:themeColor="background1"/>
                <w:sz w:val="20"/>
                <w:szCs w:val="20"/>
                <w:lang w:eastAsia="en-GB"/>
              </w:rPr>
            </w:pPr>
            <w:r w:rsidRPr="00CA75A2">
              <w:rPr>
                <w:rFonts w:eastAsia="Arial" w:cs="Arial"/>
                <w:b/>
                <w:color w:val="FFFFFF" w:themeColor="background1"/>
                <w:sz w:val="20"/>
                <w:szCs w:val="20"/>
                <w:lang w:eastAsia="en-GB"/>
              </w:rPr>
              <w:t>Topic Area</w:t>
            </w:r>
          </w:p>
        </w:tc>
        <w:tc>
          <w:tcPr>
            <w:tcW w:w="4530" w:type="dxa"/>
            <w:shd w:val="clear" w:color="auto" w:fill="004846"/>
            <w:tcMar>
              <w:top w:w="57" w:type="dxa"/>
              <w:left w:w="57" w:type="dxa"/>
              <w:bottom w:w="57" w:type="dxa"/>
              <w:right w:w="57" w:type="dxa"/>
            </w:tcMar>
            <w:vAlign w:val="center"/>
          </w:tcPr>
          <w:p w14:paraId="59AF6E87" w14:textId="77777777" w:rsidR="002C7B4F" w:rsidRPr="00CA75A2" w:rsidRDefault="002C7B4F" w:rsidP="00CA75A2">
            <w:pPr>
              <w:widowControl w:val="0"/>
              <w:pBdr>
                <w:top w:val="nil"/>
                <w:left w:val="nil"/>
                <w:bottom w:val="nil"/>
                <w:right w:val="nil"/>
                <w:between w:val="nil"/>
              </w:pBdr>
              <w:jc w:val="center"/>
              <w:rPr>
                <w:rFonts w:eastAsia="Arial" w:cs="Arial"/>
                <w:b/>
                <w:color w:val="FFFFFF" w:themeColor="background1"/>
                <w:sz w:val="20"/>
                <w:szCs w:val="20"/>
                <w:lang w:eastAsia="en-GB"/>
              </w:rPr>
            </w:pPr>
            <w:r w:rsidRPr="00CA75A2">
              <w:rPr>
                <w:rFonts w:eastAsia="Arial" w:cs="Arial"/>
                <w:b/>
                <w:color w:val="FFFFFF" w:themeColor="background1"/>
                <w:sz w:val="20"/>
                <w:szCs w:val="20"/>
                <w:lang w:eastAsia="en-GB"/>
              </w:rPr>
              <w:t>Issue</w:t>
            </w:r>
          </w:p>
        </w:tc>
        <w:tc>
          <w:tcPr>
            <w:tcW w:w="4677" w:type="dxa"/>
            <w:shd w:val="clear" w:color="auto" w:fill="004846"/>
            <w:vAlign w:val="center"/>
          </w:tcPr>
          <w:p w14:paraId="3A300D35" w14:textId="77777777" w:rsidR="002C7B4F" w:rsidRPr="00CA75A2" w:rsidRDefault="002C7B4F" w:rsidP="00CA75A2">
            <w:pPr>
              <w:widowControl w:val="0"/>
              <w:jc w:val="center"/>
              <w:rPr>
                <w:rFonts w:eastAsia="Arial" w:cs="Arial"/>
                <w:b/>
                <w:bCs/>
                <w:color w:val="FFFFFF" w:themeColor="background1"/>
                <w:sz w:val="20"/>
                <w:szCs w:val="20"/>
                <w:lang w:eastAsia="en-GB"/>
              </w:rPr>
            </w:pPr>
            <w:r w:rsidRPr="00CA75A2">
              <w:rPr>
                <w:rFonts w:eastAsia="Arial" w:cs="Arial"/>
                <w:b/>
                <w:bCs/>
                <w:color w:val="FFFFFF" w:themeColor="background1"/>
                <w:sz w:val="20"/>
                <w:szCs w:val="20"/>
                <w:lang w:eastAsia="en-GB"/>
              </w:rPr>
              <w:t>Market Feedback</w:t>
            </w:r>
          </w:p>
        </w:tc>
      </w:tr>
      <w:tr w:rsidR="002C7B4F" w:rsidRPr="002C7B4F" w14:paraId="09AF9459" w14:textId="77777777" w:rsidTr="00CA75A2">
        <w:trPr>
          <w:gridBefore w:val="1"/>
          <w:wBefore w:w="6" w:type="dxa"/>
          <w:trHeight w:val="311"/>
          <w:jc w:val="center"/>
        </w:trPr>
        <w:tc>
          <w:tcPr>
            <w:tcW w:w="966" w:type="dxa"/>
            <w:vMerge w:val="restart"/>
            <w:tcMar>
              <w:top w:w="57" w:type="dxa"/>
              <w:left w:w="57" w:type="dxa"/>
              <w:bottom w:w="57" w:type="dxa"/>
              <w:right w:w="57" w:type="dxa"/>
            </w:tcMar>
          </w:tcPr>
          <w:p w14:paraId="60BAC4EE" w14:textId="77777777" w:rsidR="002C7B4F" w:rsidRPr="002C7B4F" w:rsidRDefault="002C7B4F" w:rsidP="002C7B4F">
            <w:pPr>
              <w:widowControl w:val="0"/>
              <w:pBdr>
                <w:top w:val="nil"/>
                <w:left w:val="nil"/>
                <w:bottom w:val="nil"/>
                <w:right w:val="nil"/>
                <w:between w:val="nil"/>
              </w:pBdr>
              <w:spacing w:before="40" w:after="240"/>
              <w:ind w:left="107"/>
              <w:rPr>
                <w:rFonts w:eastAsia="Arial" w:cs="Arial"/>
                <w:color w:val="000000"/>
                <w:sz w:val="16"/>
                <w:szCs w:val="16"/>
                <w:lang w:eastAsia="en-GB"/>
              </w:rPr>
            </w:pPr>
            <w:r w:rsidRPr="002C7B4F">
              <w:rPr>
                <w:rFonts w:eastAsia="Arial" w:cs="Arial"/>
                <w:color w:val="000000"/>
                <w:sz w:val="16"/>
                <w:szCs w:val="16"/>
                <w:lang w:eastAsia="en-GB"/>
              </w:rPr>
              <w:t xml:space="preserve">Contract Terms </w:t>
            </w:r>
          </w:p>
        </w:tc>
        <w:tc>
          <w:tcPr>
            <w:tcW w:w="4530" w:type="dxa"/>
            <w:tcMar>
              <w:top w:w="57" w:type="dxa"/>
              <w:left w:w="57" w:type="dxa"/>
              <w:bottom w:w="57" w:type="dxa"/>
              <w:right w:w="57" w:type="dxa"/>
            </w:tcMar>
          </w:tcPr>
          <w:p w14:paraId="7821B84C"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Form of Contract</w:t>
            </w:r>
          </w:p>
        </w:tc>
        <w:tc>
          <w:tcPr>
            <w:tcW w:w="4677" w:type="dxa"/>
          </w:tcPr>
          <w:p w14:paraId="40A833A5"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acknowledged the removal of the ECC provisions from the Form of Contract, and confirmation SCDP services shall not include site works. </w:t>
            </w:r>
          </w:p>
          <w:p w14:paraId="0A4EBCD9"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It was proposed that contract should be based on NEC and amended rather than bespoke. </w:t>
            </w:r>
          </w:p>
        </w:tc>
      </w:tr>
      <w:tr w:rsidR="002C7B4F" w:rsidRPr="002C7B4F" w14:paraId="33B41EAF" w14:textId="77777777" w:rsidTr="00CA75A2">
        <w:trPr>
          <w:gridBefore w:val="1"/>
          <w:wBefore w:w="6" w:type="dxa"/>
          <w:jc w:val="center"/>
        </w:trPr>
        <w:tc>
          <w:tcPr>
            <w:tcW w:w="966" w:type="dxa"/>
            <w:vMerge/>
            <w:tcMar>
              <w:top w:w="57" w:type="dxa"/>
              <w:left w:w="57" w:type="dxa"/>
              <w:bottom w:w="57" w:type="dxa"/>
              <w:right w:w="57" w:type="dxa"/>
            </w:tcMar>
          </w:tcPr>
          <w:p w14:paraId="2FDAC0B2"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761F4680"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Scope of Contract</w:t>
            </w:r>
          </w:p>
        </w:tc>
        <w:tc>
          <w:tcPr>
            <w:tcW w:w="4677" w:type="dxa"/>
          </w:tcPr>
          <w:p w14:paraId="28E09489"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requested to include more clarifications around: </w:t>
            </w:r>
          </w:p>
          <w:p w14:paraId="3C3723DD"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 xml:space="preserve">Data management (standards, expectations, quality assurance, ownership etc). </w:t>
            </w:r>
          </w:p>
          <w:p w14:paraId="2A6798CC"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 xml:space="preserve">Self-Delivery of Contracted Services. </w:t>
            </w:r>
          </w:p>
          <w:p w14:paraId="635D96D6"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 xml:space="preserve">Acceptance of all tasks orders when price and risk share not agreed. </w:t>
            </w:r>
          </w:p>
          <w:p w14:paraId="18706995"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 xml:space="preserve">Role and influence of SCDP in selection of Drilling Contractor. </w:t>
            </w:r>
          </w:p>
          <w:p w14:paraId="2B8F4ACD"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 xml:space="preserve">SCDP and MPDP (responsibilities, influence, what permitting for SCDP). </w:t>
            </w:r>
          </w:p>
          <w:p w14:paraId="333573DD"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 xml:space="preserve">Number and scope of Task Orders. </w:t>
            </w:r>
          </w:p>
          <w:p w14:paraId="24AAB383"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 xml:space="preserve">Management of NAGRA and BGS. </w:t>
            </w:r>
          </w:p>
          <w:p w14:paraId="43B57458"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Audit requirements (scope, cycle, escalation procedure, supply chain audits).</w:t>
            </w:r>
          </w:p>
          <w:p w14:paraId="233D1FF3"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Governance and decision making for SCDP contract.</w:t>
            </w:r>
          </w:p>
          <w:p w14:paraId="7AFF67CB"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 xml:space="preserve">SME contract requirement to flow down. </w:t>
            </w:r>
          </w:p>
          <w:p w14:paraId="333DD1A1"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Role of SCDP under CDM, application of CDM for marine works.</w:t>
            </w:r>
          </w:p>
          <w:p w14:paraId="659FE321"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Digital Strategy.</w:t>
            </w:r>
          </w:p>
          <w:p w14:paraId="41D95A6E"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Arrangement of performance, risk and liability between NWS, the SCDP and drilling / sub-contractors.</w:t>
            </w:r>
          </w:p>
          <w:p w14:paraId="4A6F07F3"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Management of minor permissions.</w:t>
            </w:r>
          </w:p>
          <w:p w14:paraId="2090D4E3"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Interfaces with other Strategic Partners (e.g. commencement of relationship).</w:t>
            </w:r>
          </w:p>
          <w:p w14:paraId="6F43D99C"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Delegation of Authority levels for the SCDP.</w:t>
            </w:r>
          </w:p>
          <w:p w14:paraId="19002B03"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Task Order vs Head Contract.</w:t>
            </w:r>
          </w:p>
          <w:p w14:paraId="367ED6F3"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 xml:space="preserve">Design changes approval process; </w:t>
            </w:r>
          </w:p>
          <w:p w14:paraId="3B08FF58"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R&amp;D requirements.</w:t>
            </w:r>
          </w:p>
          <w:p w14:paraId="6338AF5A"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Clear definition of SCDP scope end.</w:t>
            </w:r>
          </w:p>
          <w:p w14:paraId="10AC0E7A" w14:textId="77777777" w:rsidR="002C7B4F" w:rsidRPr="00CA75A2" w:rsidRDefault="002C7B4F" w:rsidP="00CA75A2">
            <w:pPr>
              <w:widowControl w:val="0"/>
              <w:numPr>
                <w:ilvl w:val="0"/>
                <w:numId w:val="30"/>
              </w:numPr>
              <w:spacing w:before="60" w:after="60" w:line="259" w:lineRule="auto"/>
              <w:rPr>
                <w:rFonts w:eastAsia="Arial" w:cs="Arial"/>
                <w:sz w:val="20"/>
                <w:szCs w:val="20"/>
                <w:lang w:eastAsia="en-GB"/>
              </w:rPr>
            </w:pPr>
            <w:r w:rsidRPr="00CA75A2">
              <w:rPr>
                <w:rFonts w:eastAsia="Arial" w:cs="Arial"/>
                <w:sz w:val="20"/>
                <w:szCs w:val="20"/>
                <w:lang w:eastAsia="en-GB"/>
              </w:rPr>
              <w:t xml:space="preserve">Performance, risk and liability arrangements between NWS, the SCDP and the providers of NWS Contracted Services. </w:t>
            </w:r>
          </w:p>
        </w:tc>
      </w:tr>
      <w:tr w:rsidR="002C7B4F" w:rsidRPr="002C7B4F" w14:paraId="7D109DB5" w14:textId="77777777" w:rsidTr="00CA75A2">
        <w:trPr>
          <w:gridBefore w:val="1"/>
          <w:wBefore w:w="6" w:type="dxa"/>
          <w:trHeight w:val="717"/>
          <w:jc w:val="center"/>
        </w:trPr>
        <w:tc>
          <w:tcPr>
            <w:tcW w:w="966" w:type="dxa"/>
            <w:vMerge/>
            <w:tcMar>
              <w:top w:w="57" w:type="dxa"/>
              <w:left w:w="57" w:type="dxa"/>
              <w:bottom w:w="57" w:type="dxa"/>
              <w:right w:w="57" w:type="dxa"/>
            </w:tcMar>
          </w:tcPr>
          <w:p w14:paraId="2009FA8A"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39DD473E"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Anticipated Contract Value</w:t>
            </w:r>
          </w:p>
        </w:tc>
        <w:tc>
          <w:tcPr>
            <w:tcW w:w="4677" w:type="dxa"/>
          </w:tcPr>
          <w:p w14:paraId="7902D775"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requested to confirm what the updated figure include (e.g. indexation, risk allowance). </w:t>
            </w:r>
          </w:p>
        </w:tc>
      </w:tr>
      <w:tr w:rsidR="002C7B4F" w:rsidRPr="002C7B4F" w14:paraId="1F298698" w14:textId="77777777" w:rsidTr="00CA75A2">
        <w:trPr>
          <w:gridBefore w:val="1"/>
          <w:wBefore w:w="6" w:type="dxa"/>
          <w:trHeight w:val="309"/>
          <w:jc w:val="center"/>
        </w:trPr>
        <w:tc>
          <w:tcPr>
            <w:tcW w:w="966" w:type="dxa"/>
            <w:vMerge/>
            <w:tcMar>
              <w:top w:w="57" w:type="dxa"/>
              <w:left w:w="57" w:type="dxa"/>
              <w:bottom w:w="57" w:type="dxa"/>
              <w:right w:w="57" w:type="dxa"/>
            </w:tcMar>
          </w:tcPr>
          <w:p w14:paraId="017F32DA"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07CE7FAF"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Minimum Contract Value</w:t>
            </w:r>
          </w:p>
        </w:tc>
        <w:tc>
          <w:tcPr>
            <w:tcW w:w="4677" w:type="dxa"/>
          </w:tcPr>
          <w:p w14:paraId="18050FAE"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The market requested to provide annual value of ‘Task Zero Services’ and the likely total value of the Initial Task Order.</w:t>
            </w:r>
          </w:p>
          <w:p w14:paraId="2842A10F" w14:textId="0A82CA83"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A proposal to include different fee for ‘Task Zero Services’ vs. other task orders, as employees engaged in ‘Task Zero Services’ will be working on a full time/permanent basis whereas those engaged to deliver other task orders are more likely to work on a short term/consultancy basis (with differing overhead costs). </w:t>
            </w:r>
          </w:p>
        </w:tc>
      </w:tr>
      <w:tr w:rsidR="002C7B4F" w:rsidRPr="002C7B4F" w14:paraId="4929F2AA" w14:textId="77777777" w:rsidTr="00CA75A2">
        <w:trPr>
          <w:gridBefore w:val="1"/>
          <w:wBefore w:w="6" w:type="dxa"/>
          <w:trHeight w:val="309"/>
          <w:jc w:val="center"/>
        </w:trPr>
        <w:tc>
          <w:tcPr>
            <w:tcW w:w="966" w:type="dxa"/>
            <w:vMerge/>
            <w:tcMar>
              <w:top w:w="57" w:type="dxa"/>
              <w:left w:w="57" w:type="dxa"/>
              <w:bottom w:w="57" w:type="dxa"/>
              <w:right w:w="57" w:type="dxa"/>
            </w:tcMar>
          </w:tcPr>
          <w:p w14:paraId="171D31A7"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560686E1"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[Task Zero Services] and Initial Task Order</w:t>
            </w:r>
          </w:p>
        </w:tc>
        <w:tc>
          <w:tcPr>
            <w:tcW w:w="4677" w:type="dxa"/>
          </w:tcPr>
          <w:p w14:paraId="53715891"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The market requested clarification on the following:</w:t>
            </w:r>
          </w:p>
          <w:p w14:paraId="71D81E8C" w14:textId="77777777" w:rsidR="002C7B4F" w:rsidRPr="00CA75A2" w:rsidRDefault="002C7B4F" w:rsidP="00CA75A2">
            <w:pPr>
              <w:widowControl w:val="0"/>
              <w:numPr>
                <w:ilvl w:val="0"/>
                <w:numId w:val="31"/>
              </w:numPr>
              <w:spacing w:before="60" w:after="60" w:line="259" w:lineRule="auto"/>
              <w:rPr>
                <w:rFonts w:eastAsia="Arial" w:cs="Arial"/>
                <w:sz w:val="20"/>
                <w:szCs w:val="20"/>
                <w:lang w:eastAsia="en-GB"/>
              </w:rPr>
            </w:pPr>
            <w:r w:rsidRPr="00CA75A2">
              <w:rPr>
                <w:rFonts w:eastAsia="Arial" w:cs="Arial"/>
                <w:sz w:val="20"/>
                <w:szCs w:val="20"/>
                <w:lang w:eastAsia="en-GB"/>
              </w:rPr>
              <w:t xml:space="preserve">Confirmation if mobilisation is likely to be concurrent with procurement of drilling contractor. </w:t>
            </w:r>
          </w:p>
          <w:p w14:paraId="0B18CA10" w14:textId="77777777" w:rsidR="002C7B4F" w:rsidRPr="00CA75A2" w:rsidRDefault="002C7B4F" w:rsidP="00CA75A2">
            <w:pPr>
              <w:widowControl w:val="0"/>
              <w:numPr>
                <w:ilvl w:val="0"/>
                <w:numId w:val="31"/>
              </w:numPr>
              <w:spacing w:before="60" w:after="60" w:line="259" w:lineRule="auto"/>
              <w:rPr>
                <w:rFonts w:eastAsia="Arial" w:cs="Arial"/>
                <w:sz w:val="20"/>
                <w:szCs w:val="20"/>
                <w:lang w:eastAsia="en-GB"/>
              </w:rPr>
            </w:pPr>
            <w:r w:rsidRPr="00CA75A2">
              <w:rPr>
                <w:rFonts w:eastAsia="Arial" w:cs="Arial"/>
                <w:sz w:val="20"/>
                <w:szCs w:val="20"/>
                <w:lang w:eastAsia="en-GB"/>
              </w:rPr>
              <w:t xml:space="preserve">Agreement process for Task Orders (approving stakeholders, timeframes etc). </w:t>
            </w:r>
          </w:p>
          <w:p w14:paraId="67051600" w14:textId="0693A785" w:rsidR="002C7B4F" w:rsidRPr="00CA75A2" w:rsidRDefault="002C7B4F" w:rsidP="00CA75A2">
            <w:pPr>
              <w:widowControl w:val="0"/>
              <w:numPr>
                <w:ilvl w:val="0"/>
                <w:numId w:val="31"/>
              </w:numPr>
              <w:spacing w:before="60" w:after="60" w:line="259" w:lineRule="auto"/>
              <w:rPr>
                <w:rFonts w:eastAsia="Arial" w:cs="Arial"/>
                <w:sz w:val="20"/>
                <w:szCs w:val="20"/>
                <w:lang w:eastAsia="en-GB"/>
              </w:rPr>
            </w:pPr>
            <w:r w:rsidRPr="00CA75A2">
              <w:rPr>
                <w:rFonts w:eastAsia="Arial" w:cs="Arial"/>
                <w:sz w:val="20"/>
                <w:szCs w:val="20"/>
                <w:lang w:eastAsia="en-GB"/>
              </w:rPr>
              <w:t>Confirmation if Task Zero Services will include for enduring costs such as those associated with offices/facilities/working areas and insurance costs.</w:t>
            </w:r>
          </w:p>
        </w:tc>
      </w:tr>
      <w:tr w:rsidR="002C7B4F" w:rsidRPr="002C7B4F" w14:paraId="16660D84" w14:textId="77777777" w:rsidTr="00CA75A2">
        <w:trPr>
          <w:gridBefore w:val="1"/>
          <w:wBefore w:w="6" w:type="dxa"/>
          <w:trHeight w:val="1445"/>
          <w:jc w:val="center"/>
        </w:trPr>
        <w:tc>
          <w:tcPr>
            <w:tcW w:w="966" w:type="dxa"/>
            <w:vMerge/>
            <w:tcMar>
              <w:top w:w="57" w:type="dxa"/>
              <w:left w:w="57" w:type="dxa"/>
              <w:bottom w:w="57" w:type="dxa"/>
              <w:right w:w="57" w:type="dxa"/>
            </w:tcMar>
          </w:tcPr>
          <w:p w14:paraId="694F367A"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1EE9D48B"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Insurances</w:t>
            </w:r>
          </w:p>
        </w:tc>
        <w:tc>
          <w:tcPr>
            <w:tcW w:w="4677" w:type="dxa"/>
          </w:tcPr>
          <w:p w14:paraId="0B8B9365"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requested to provide more clarity on insurance levels (e.g. cap or each and every claim). Also, the market proposed insurances to be recoverable within allowable Defined Costs and recovered as part of the ‘Task Zero Services’ since they are not linked to specific task orders. </w:t>
            </w:r>
          </w:p>
          <w:p w14:paraId="65FF8389" w14:textId="2CD29FEA"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More clarification was requested in regards to procured site contractor’s insurance. </w:t>
            </w:r>
          </w:p>
        </w:tc>
      </w:tr>
      <w:tr w:rsidR="002C7B4F" w:rsidRPr="002C7B4F" w14:paraId="43677C07" w14:textId="77777777" w:rsidTr="00CA75A2">
        <w:trPr>
          <w:gridBefore w:val="1"/>
          <w:wBefore w:w="6" w:type="dxa"/>
          <w:trHeight w:val="557"/>
          <w:jc w:val="center"/>
        </w:trPr>
        <w:tc>
          <w:tcPr>
            <w:tcW w:w="966" w:type="dxa"/>
            <w:vMerge/>
            <w:tcMar>
              <w:top w:w="57" w:type="dxa"/>
              <w:left w:w="57" w:type="dxa"/>
              <w:bottom w:w="57" w:type="dxa"/>
              <w:right w:w="57" w:type="dxa"/>
            </w:tcMar>
          </w:tcPr>
          <w:p w14:paraId="64214643"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6B9152DA"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Limit of Liability</w:t>
            </w:r>
          </w:p>
        </w:tc>
        <w:tc>
          <w:tcPr>
            <w:tcW w:w="4677" w:type="dxa"/>
          </w:tcPr>
          <w:p w14:paraId="41245F38"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The market highlighted some confusion in regard to limit of liability. In their view they are open ended and unlimited since the liability is linked to insurances that are unlimited. In addition, the market considered inappropriate to set a £1m minimum task order limit of liability, as this should be scaled solely in relation to the value of the task order, or for low value task orders it will be disproportionate. Also, the 2.5x Task Order Value limit was considered too high and maximum of 1.0x Task Order Value was propose instead.</w:t>
            </w:r>
          </w:p>
          <w:p w14:paraId="2B65C215"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There were also concerns raised about the lack of cap at each task order. </w:t>
            </w:r>
          </w:p>
          <w:p w14:paraId="79D37831"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It was also suggested to excluded GDPR data loss rather than data loss in general from limits on SCDP’s liability. </w:t>
            </w:r>
          </w:p>
          <w:p w14:paraId="40B6E477"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also believed that it is not appropriate to set annual aggregate liability of £100m since there is no certainty as to the minimum annual value of the contract. </w:t>
            </w:r>
          </w:p>
        </w:tc>
      </w:tr>
      <w:tr w:rsidR="002C7B4F" w:rsidRPr="002C7B4F" w14:paraId="79C65993" w14:textId="77777777" w:rsidTr="00CA75A2">
        <w:trPr>
          <w:gridBefore w:val="1"/>
          <w:wBefore w:w="6" w:type="dxa"/>
          <w:trHeight w:val="319"/>
          <w:jc w:val="center"/>
        </w:trPr>
        <w:tc>
          <w:tcPr>
            <w:tcW w:w="966" w:type="dxa"/>
            <w:vMerge/>
            <w:tcMar>
              <w:top w:w="57" w:type="dxa"/>
              <w:left w:w="57" w:type="dxa"/>
              <w:bottom w:w="57" w:type="dxa"/>
              <w:right w:w="57" w:type="dxa"/>
            </w:tcMar>
          </w:tcPr>
          <w:p w14:paraId="740DE75D"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5471DE49"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Exclusion of Consequential Loss</w:t>
            </w:r>
          </w:p>
        </w:tc>
        <w:tc>
          <w:tcPr>
            <w:tcW w:w="4677" w:type="dxa"/>
          </w:tcPr>
          <w:p w14:paraId="2F6967F8"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No feedback from the market.</w:t>
            </w:r>
          </w:p>
        </w:tc>
      </w:tr>
      <w:tr w:rsidR="002C7B4F" w:rsidRPr="002C7B4F" w14:paraId="2C8DAE8C" w14:textId="77777777" w:rsidTr="00CA75A2">
        <w:trPr>
          <w:gridBefore w:val="1"/>
          <w:wBefore w:w="6" w:type="dxa"/>
          <w:trHeight w:val="343"/>
          <w:jc w:val="center"/>
        </w:trPr>
        <w:tc>
          <w:tcPr>
            <w:tcW w:w="966" w:type="dxa"/>
            <w:vMerge/>
            <w:tcMar>
              <w:top w:w="57" w:type="dxa"/>
              <w:left w:w="57" w:type="dxa"/>
              <w:bottom w:w="57" w:type="dxa"/>
              <w:right w:w="57" w:type="dxa"/>
            </w:tcMar>
          </w:tcPr>
          <w:p w14:paraId="49675D5B"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1D7536C4"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 xml:space="preserve"> LADD</w:t>
            </w:r>
          </w:p>
        </w:tc>
        <w:tc>
          <w:tcPr>
            <w:tcW w:w="4677" w:type="dxa"/>
          </w:tcPr>
          <w:p w14:paraId="34C2B45A"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No feedback from the market.</w:t>
            </w:r>
          </w:p>
        </w:tc>
      </w:tr>
      <w:tr w:rsidR="002C7B4F" w:rsidRPr="002C7B4F" w14:paraId="2F6E7DFD" w14:textId="77777777" w:rsidTr="00CA75A2">
        <w:trPr>
          <w:gridBefore w:val="1"/>
          <w:wBefore w:w="6" w:type="dxa"/>
          <w:trHeight w:val="557"/>
          <w:jc w:val="center"/>
        </w:trPr>
        <w:tc>
          <w:tcPr>
            <w:tcW w:w="966" w:type="dxa"/>
            <w:vMerge/>
            <w:tcMar>
              <w:top w:w="57" w:type="dxa"/>
              <w:left w:w="57" w:type="dxa"/>
              <w:bottom w:w="57" w:type="dxa"/>
              <w:right w:w="57" w:type="dxa"/>
            </w:tcMar>
          </w:tcPr>
          <w:p w14:paraId="526E0022"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6107F8EF"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Key Contractor Staff</w:t>
            </w:r>
          </w:p>
        </w:tc>
        <w:tc>
          <w:tcPr>
            <w:tcW w:w="4677" w:type="dxa"/>
          </w:tcPr>
          <w:p w14:paraId="09E5C7D6"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proposed additional roles to be included as part of "Key Contractor Staff" e.g. Digital Lead, Mobilisation Lead, SV Lead etc. </w:t>
            </w:r>
          </w:p>
          <w:p w14:paraId="4F301C81"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Also comments were raised about distinction between technical specifiers and technical delivery individuals and how to articulate the need for succession planning for those 2 technical roles. </w:t>
            </w:r>
          </w:p>
          <w:p w14:paraId="556E76E9"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More details were also requested about mobilisation and transition principles. Clarity around decision making of the key roles and how will delegation of Client’s authority be achieved for them. </w:t>
            </w:r>
          </w:p>
          <w:p w14:paraId="3F220CEF"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There were also concerns raised regarding the length of key role replacement transition period and need for SCDP to bear that cost e.g. it was proposed that a minimum service period curtails the 3-month transition and it should not apply where staff leave on compassionate / health etc grounds.</w:t>
            </w:r>
          </w:p>
          <w:p w14:paraId="5B15370B"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It was also proposed that replacement staff should be required to meet or exceed the minimum qualifications and experience required for the Key roles, not have equal or greater qualifications and experience. </w:t>
            </w:r>
          </w:p>
          <w:p w14:paraId="4FEF6E7C"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They were also comments raised that it is unreasonable to require key staff to be available at the point of contract award but rather recommended to requiring that Key Contractor Staff to be in place no later than 6 months from full execution of the Task Zero Services task order. </w:t>
            </w:r>
          </w:p>
        </w:tc>
      </w:tr>
      <w:tr w:rsidR="002C7B4F" w:rsidRPr="002C7B4F" w14:paraId="4665D5A3" w14:textId="77777777" w:rsidTr="00CA75A2">
        <w:trPr>
          <w:gridBefore w:val="1"/>
          <w:wBefore w:w="6" w:type="dxa"/>
          <w:trHeight w:val="240"/>
          <w:jc w:val="center"/>
        </w:trPr>
        <w:tc>
          <w:tcPr>
            <w:tcW w:w="966" w:type="dxa"/>
            <w:vMerge/>
            <w:tcMar>
              <w:top w:w="57" w:type="dxa"/>
              <w:left w:w="57" w:type="dxa"/>
              <w:bottom w:w="57" w:type="dxa"/>
              <w:right w:w="57" w:type="dxa"/>
            </w:tcMar>
          </w:tcPr>
          <w:p w14:paraId="3CE41ED0"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167EEB7B"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Parent Company Guarantee (PCG)</w:t>
            </w:r>
          </w:p>
        </w:tc>
        <w:tc>
          <w:tcPr>
            <w:tcW w:w="4677" w:type="dxa"/>
          </w:tcPr>
          <w:p w14:paraId="1E1C7FF6" w14:textId="77777777" w:rsidR="002C7B4F" w:rsidRPr="00CA75A2" w:rsidRDefault="002C7B4F" w:rsidP="00CA75A2">
            <w:pPr>
              <w:widowControl w:val="0"/>
              <w:spacing w:before="60" w:after="60"/>
              <w:rPr>
                <w:rFonts w:eastAsia="Arial" w:cs="Arial"/>
                <w:sz w:val="20"/>
                <w:szCs w:val="20"/>
                <w:highlight w:val="green"/>
                <w:lang w:eastAsia="en-GB"/>
              </w:rPr>
            </w:pPr>
            <w:r w:rsidRPr="00CA75A2">
              <w:rPr>
                <w:rFonts w:eastAsia="Arial" w:cs="Arial"/>
                <w:sz w:val="20"/>
                <w:szCs w:val="20"/>
                <w:lang w:eastAsia="en-GB"/>
              </w:rPr>
              <w:t xml:space="preserve">The market requested to share as part of the market engagement process the method that the Client will use to measure the financial strength of the bidders as well as their Parent / Ultimate Parent, together with the threshold score. </w:t>
            </w:r>
          </w:p>
        </w:tc>
      </w:tr>
      <w:tr w:rsidR="002C7B4F" w:rsidRPr="002C7B4F" w14:paraId="59137575" w14:textId="77777777" w:rsidTr="00CA75A2">
        <w:trPr>
          <w:gridBefore w:val="1"/>
          <w:wBefore w:w="6" w:type="dxa"/>
          <w:trHeight w:val="343"/>
          <w:jc w:val="center"/>
        </w:trPr>
        <w:tc>
          <w:tcPr>
            <w:tcW w:w="966" w:type="dxa"/>
            <w:vMerge/>
            <w:tcMar>
              <w:top w:w="57" w:type="dxa"/>
              <w:left w:w="57" w:type="dxa"/>
              <w:bottom w:w="57" w:type="dxa"/>
              <w:right w:w="57" w:type="dxa"/>
            </w:tcMar>
          </w:tcPr>
          <w:p w14:paraId="4BC19CD0"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sz w:val="16"/>
                <w:szCs w:val="16"/>
                <w:lang w:eastAsia="en-GB"/>
              </w:rPr>
            </w:pPr>
          </w:p>
        </w:tc>
        <w:tc>
          <w:tcPr>
            <w:tcW w:w="4530" w:type="dxa"/>
            <w:tcMar>
              <w:top w:w="57" w:type="dxa"/>
              <w:left w:w="57" w:type="dxa"/>
              <w:bottom w:w="57" w:type="dxa"/>
              <w:right w:w="57" w:type="dxa"/>
            </w:tcMar>
          </w:tcPr>
          <w:p w14:paraId="5DA9C628"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Performance Bond</w:t>
            </w:r>
          </w:p>
        </w:tc>
        <w:tc>
          <w:tcPr>
            <w:tcW w:w="4677" w:type="dxa"/>
          </w:tcPr>
          <w:p w14:paraId="5523CA44"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No feedback from the market.</w:t>
            </w:r>
          </w:p>
        </w:tc>
      </w:tr>
      <w:tr w:rsidR="002C7B4F" w:rsidRPr="002C7B4F" w14:paraId="1D7FF617" w14:textId="77777777" w:rsidTr="00CA75A2">
        <w:trPr>
          <w:gridBefore w:val="1"/>
          <w:wBefore w:w="6" w:type="dxa"/>
          <w:trHeight w:val="557"/>
          <w:jc w:val="center"/>
        </w:trPr>
        <w:tc>
          <w:tcPr>
            <w:tcW w:w="966" w:type="dxa"/>
            <w:vMerge/>
            <w:tcMar>
              <w:top w:w="57" w:type="dxa"/>
              <w:left w:w="57" w:type="dxa"/>
              <w:bottom w:w="57" w:type="dxa"/>
              <w:right w:w="57" w:type="dxa"/>
            </w:tcMar>
          </w:tcPr>
          <w:p w14:paraId="5A8DF2C7"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12A79E01"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Payment Terms</w:t>
            </w:r>
          </w:p>
        </w:tc>
        <w:tc>
          <w:tcPr>
            <w:tcW w:w="4677" w:type="dxa"/>
          </w:tcPr>
          <w:p w14:paraId="43653A72"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The market believed that the proposed approach would expose the SCDP to a two-month working capital requirement. It was suggested to adopt the NEC4 PSC approach whereby the Service Manager assesses payment on the basis of forecast costs in the period.</w:t>
            </w:r>
          </w:p>
        </w:tc>
      </w:tr>
      <w:tr w:rsidR="002C7B4F" w:rsidRPr="002C7B4F" w14:paraId="3B5921C9" w14:textId="77777777" w:rsidTr="00CA75A2">
        <w:trPr>
          <w:gridBefore w:val="1"/>
          <w:wBefore w:w="6" w:type="dxa"/>
          <w:trHeight w:val="305"/>
          <w:jc w:val="center"/>
        </w:trPr>
        <w:tc>
          <w:tcPr>
            <w:tcW w:w="966" w:type="dxa"/>
            <w:vMerge/>
            <w:tcMar>
              <w:top w:w="57" w:type="dxa"/>
              <w:left w:w="57" w:type="dxa"/>
              <w:bottom w:w="57" w:type="dxa"/>
              <w:right w:w="57" w:type="dxa"/>
            </w:tcMar>
          </w:tcPr>
          <w:p w14:paraId="51109F8E"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05C5E434"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Nuclear Indemnities</w:t>
            </w:r>
          </w:p>
        </w:tc>
        <w:tc>
          <w:tcPr>
            <w:tcW w:w="4677" w:type="dxa"/>
          </w:tcPr>
          <w:p w14:paraId="13D05BA9"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No feedback from the market.</w:t>
            </w:r>
          </w:p>
        </w:tc>
      </w:tr>
      <w:tr w:rsidR="002C7B4F" w:rsidRPr="002C7B4F" w14:paraId="39CEE146" w14:textId="77777777" w:rsidTr="00CA75A2">
        <w:trPr>
          <w:gridBefore w:val="1"/>
          <w:wBefore w:w="6" w:type="dxa"/>
          <w:trHeight w:val="557"/>
          <w:jc w:val="center"/>
        </w:trPr>
        <w:tc>
          <w:tcPr>
            <w:tcW w:w="966" w:type="dxa"/>
            <w:vMerge/>
            <w:tcMar>
              <w:top w:w="57" w:type="dxa"/>
              <w:left w:w="57" w:type="dxa"/>
              <w:bottom w:w="57" w:type="dxa"/>
              <w:right w:w="57" w:type="dxa"/>
            </w:tcMar>
          </w:tcPr>
          <w:p w14:paraId="6571E91E"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5E092094"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Pricing mechanisms</w:t>
            </w:r>
          </w:p>
        </w:tc>
        <w:tc>
          <w:tcPr>
            <w:tcW w:w="4677" w:type="dxa"/>
          </w:tcPr>
          <w:p w14:paraId="1F33B133"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was concerned if overhead and profit percentages as ,bid back’ should be a single percentage for each tender recognising different models between contractors and consultants subcontract costs. </w:t>
            </w:r>
          </w:p>
          <w:p w14:paraId="1D21A66E"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It was also requested to provide more details about  the types of work that will be undertaken against the three different mechanisms. </w:t>
            </w:r>
          </w:p>
          <w:p w14:paraId="5C09B395"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Also, a concern was raised that in terms of overheads, the proposed team might be a mixture of consultants and contractors and will have different salary, overhead and fee build up, hence it was proposed to separate for each member of the team. </w:t>
            </w:r>
          </w:p>
          <w:p w14:paraId="28BF6787"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A query regarding the update on the salary baselines was raised e.g. frequency, based on an index or on a case-by-case basis. </w:t>
            </w:r>
          </w:p>
          <w:p w14:paraId="0241F806"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It was also suggested that the Client needs to consider different models between companies particularly not UK based e.g. how will tax and expenses for international staff will be dealt with.</w:t>
            </w:r>
          </w:p>
          <w:p w14:paraId="7543109E"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requests to define schedule of cost components, Defined Cost and overhead were raised. </w:t>
            </w:r>
          </w:p>
          <w:p w14:paraId="540AB502" w14:textId="566C0B3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Clarifications how overtime, and shift work, as well as project uplift arrangements will be accommodated. </w:t>
            </w:r>
          </w:p>
        </w:tc>
      </w:tr>
      <w:tr w:rsidR="002C7B4F" w:rsidRPr="002C7B4F" w14:paraId="37440815" w14:textId="77777777" w:rsidTr="00CA75A2">
        <w:trPr>
          <w:gridBefore w:val="1"/>
          <w:wBefore w:w="6" w:type="dxa"/>
          <w:trHeight w:val="557"/>
          <w:jc w:val="center"/>
        </w:trPr>
        <w:tc>
          <w:tcPr>
            <w:tcW w:w="966" w:type="dxa"/>
            <w:vMerge/>
            <w:tcMar>
              <w:top w:w="57" w:type="dxa"/>
              <w:left w:w="57" w:type="dxa"/>
              <w:bottom w:w="57" w:type="dxa"/>
              <w:right w:w="57" w:type="dxa"/>
            </w:tcMar>
          </w:tcPr>
          <w:p w14:paraId="50A50236"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sz w:val="16"/>
                <w:szCs w:val="16"/>
                <w:lang w:eastAsia="en-GB"/>
              </w:rPr>
            </w:pPr>
          </w:p>
        </w:tc>
        <w:tc>
          <w:tcPr>
            <w:tcW w:w="4530" w:type="dxa"/>
            <w:tcMar>
              <w:top w:w="57" w:type="dxa"/>
              <w:left w:w="57" w:type="dxa"/>
              <w:bottom w:w="57" w:type="dxa"/>
              <w:right w:w="57" w:type="dxa"/>
            </w:tcMar>
          </w:tcPr>
          <w:p w14:paraId="6552ABE7" w14:textId="77777777" w:rsidR="002C7B4F" w:rsidRPr="00CA75A2" w:rsidRDefault="002C7B4F" w:rsidP="00CA75A2">
            <w:pPr>
              <w:widowControl w:val="0"/>
              <w:numPr>
                <w:ilvl w:val="0"/>
                <w:numId w:val="28"/>
              </w:numPr>
              <w:spacing w:before="60" w:after="60" w:line="259" w:lineRule="auto"/>
              <w:ind w:left="483"/>
              <w:rPr>
                <w:rFonts w:eastAsia="Arial" w:cs="Arial"/>
                <w:sz w:val="20"/>
                <w:szCs w:val="20"/>
                <w:lang w:eastAsia="en-GB"/>
              </w:rPr>
            </w:pPr>
            <w:r w:rsidRPr="00CA75A2">
              <w:rPr>
                <w:rFonts w:eastAsia="Arial" w:cs="Arial"/>
                <w:sz w:val="20"/>
                <w:szCs w:val="20"/>
                <w:lang w:eastAsia="en-GB"/>
              </w:rPr>
              <w:t>Incentivisation</w:t>
            </w:r>
          </w:p>
        </w:tc>
        <w:tc>
          <w:tcPr>
            <w:tcW w:w="4677" w:type="dxa"/>
          </w:tcPr>
          <w:p w14:paraId="2F99B867" w14:textId="77777777" w:rsidR="002C7B4F" w:rsidRPr="00CA75A2" w:rsidRDefault="002C7B4F"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The market believed that 3 different levels with sub-divisions seem complicated and should be simplified.</w:t>
            </w:r>
          </w:p>
        </w:tc>
      </w:tr>
      <w:tr w:rsidR="002C7B4F" w:rsidRPr="002C7B4F" w14:paraId="7CD38312" w14:textId="77777777" w:rsidTr="00CA75A2">
        <w:trPr>
          <w:gridBefore w:val="1"/>
          <w:wBefore w:w="6" w:type="dxa"/>
          <w:trHeight w:val="480"/>
          <w:jc w:val="center"/>
        </w:trPr>
        <w:tc>
          <w:tcPr>
            <w:tcW w:w="966" w:type="dxa"/>
            <w:vMerge w:val="restart"/>
            <w:tcMar>
              <w:top w:w="57" w:type="dxa"/>
              <w:left w:w="57" w:type="dxa"/>
              <w:bottom w:w="57" w:type="dxa"/>
              <w:right w:w="57" w:type="dxa"/>
            </w:tcMar>
          </w:tcPr>
          <w:p w14:paraId="47F6DE1A"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64B3686E"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Self-Funded Incentive Model/SFI (Level 1): Overview</w:t>
            </w:r>
          </w:p>
        </w:tc>
        <w:tc>
          <w:tcPr>
            <w:tcW w:w="4677" w:type="dxa"/>
          </w:tcPr>
          <w:p w14:paraId="51BA2DC2"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A proposal to refine 10% of all sums payable to only apply to overhead and profit, excluding T1 subcontractor costs since it can be a challenge when one of the invoices has a large subcontractor element to it. </w:t>
            </w:r>
          </w:p>
          <w:p w14:paraId="667F668A"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It was also proposed to use rather ‘upside’ and / or profit at risk incentive arrangement since 10% retention has a substantial impact on cashflow and therefore cost. </w:t>
            </w:r>
          </w:p>
          <w:p w14:paraId="173D0F67"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Definition of the profit was also requested to be provided and concerns around why profit is pre- defined were raised. </w:t>
            </w:r>
          </w:p>
          <w:p w14:paraId="25940292"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A catch-up mechanism for instance if the start of a year has been difficult, were also suggested. </w:t>
            </w:r>
          </w:p>
          <w:p w14:paraId="2A4A3B59" w14:textId="402233FB" w:rsidR="002C7B4F" w:rsidRPr="00CA75A2" w:rsidRDefault="002C7B4F"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Clarifications were also raised if the SFI model will flow down to Tier 1 / Key subcontractors.</w:t>
            </w:r>
          </w:p>
        </w:tc>
      </w:tr>
      <w:tr w:rsidR="002C7B4F" w:rsidRPr="002C7B4F" w14:paraId="4E61503D" w14:textId="77777777" w:rsidTr="00CA75A2">
        <w:trPr>
          <w:gridBefore w:val="1"/>
          <w:wBefore w:w="6" w:type="dxa"/>
          <w:jc w:val="center"/>
        </w:trPr>
        <w:tc>
          <w:tcPr>
            <w:tcW w:w="966" w:type="dxa"/>
            <w:vMerge/>
            <w:tcMar>
              <w:top w:w="57" w:type="dxa"/>
              <w:left w:w="57" w:type="dxa"/>
              <w:bottom w:w="57" w:type="dxa"/>
              <w:right w:w="57" w:type="dxa"/>
            </w:tcMar>
          </w:tcPr>
          <w:p w14:paraId="59583D27" w14:textId="77777777" w:rsidR="002C7B4F" w:rsidRPr="002C7B4F" w:rsidRDefault="002C7B4F" w:rsidP="002C7B4F">
            <w:pPr>
              <w:widowControl w:val="0"/>
              <w:spacing w:before="0" w:after="240"/>
              <w:rPr>
                <w:rFonts w:eastAsia="Arial" w:cs="Arial"/>
                <w:sz w:val="16"/>
                <w:szCs w:val="16"/>
                <w:lang w:eastAsia="en-GB"/>
              </w:rPr>
            </w:pPr>
          </w:p>
        </w:tc>
        <w:tc>
          <w:tcPr>
            <w:tcW w:w="4530" w:type="dxa"/>
            <w:tcMar>
              <w:top w:w="57" w:type="dxa"/>
              <w:left w:w="57" w:type="dxa"/>
              <w:bottom w:w="57" w:type="dxa"/>
              <w:right w:w="57" w:type="dxa"/>
            </w:tcMar>
          </w:tcPr>
          <w:p w14:paraId="292EE580" w14:textId="77777777" w:rsidR="002C7B4F" w:rsidRPr="00CA75A2" w:rsidRDefault="002C7B4F" w:rsidP="00CA75A2">
            <w:pPr>
              <w:widowControl w:val="0"/>
              <w:numPr>
                <w:ilvl w:val="0"/>
                <w:numId w:val="28"/>
              </w:numPr>
              <w:spacing w:before="60" w:after="60" w:line="259" w:lineRule="auto"/>
              <w:ind w:left="483"/>
              <w:rPr>
                <w:rFonts w:eastAsia="Arial" w:cs="Arial"/>
                <w:sz w:val="20"/>
                <w:szCs w:val="20"/>
                <w:lang w:eastAsia="en-GB"/>
              </w:rPr>
            </w:pPr>
            <w:r w:rsidRPr="00CA75A2">
              <w:rPr>
                <w:rFonts w:eastAsia="Arial" w:cs="Arial"/>
                <w:sz w:val="20"/>
                <w:szCs w:val="20"/>
                <w:lang w:eastAsia="en-GB"/>
              </w:rPr>
              <w:t>SFI: Milestones</w:t>
            </w:r>
          </w:p>
        </w:tc>
        <w:tc>
          <w:tcPr>
            <w:tcW w:w="4677" w:type="dxa"/>
          </w:tcPr>
          <w:p w14:paraId="07271B4C"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was concerned if milestone delivery is incentivised twice (5% milestone fraction of the SFI and the "Variance of Schedule" within the 2.5% KPI fraction). </w:t>
            </w:r>
          </w:p>
          <w:p w14:paraId="024EE424"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In addition, a suggestion was raised that 20-day delivery threshold for the task milestone payout should not be fixed all task orders and should depend on complexity and/or duration of the task. </w:t>
            </w:r>
          </w:p>
          <w:p w14:paraId="4AE8B0FE"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cash flow risk was also raised in regard to release of funds and quarterly release instead of annual was proposed. </w:t>
            </w:r>
          </w:p>
          <w:p w14:paraId="762D995C" w14:textId="77777777" w:rsidR="002C7B4F" w:rsidRPr="00CA75A2" w:rsidRDefault="002C7B4F"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Clarifications on the length of time from SCDP applying for payment against an achieved milestone to receiving payment were also raised.</w:t>
            </w:r>
          </w:p>
        </w:tc>
      </w:tr>
      <w:tr w:rsidR="002C7B4F" w:rsidRPr="002C7B4F" w14:paraId="798FB8AD" w14:textId="77777777" w:rsidTr="00CA75A2">
        <w:trPr>
          <w:gridBefore w:val="1"/>
          <w:wBefore w:w="6" w:type="dxa"/>
          <w:jc w:val="center"/>
        </w:trPr>
        <w:tc>
          <w:tcPr>
            <w:tcW w:w="966" w:type="dxa"/>
            <w:vMerge/>
            <w:tcMar>
              <w:top w:w="57" w:type="dxa"/>
              <w:left w:w="57" w:type="dxa"/>
              <w:bottom w:w="57" w:type="dxa"/>
              <w:right w:w="57" w:type="dxa"/>
            </w:tcMar>
          </w:tcPr>
          <w:p w14:paraId="06500AB5" w14:textId="77777777" w:rsidR="002C7B4F" w:rsidRPr="002C7B4F" w:rsidRDefault="002C7B4F" w:rsidP="002C7B4F">
            <w:pPr>
              <w:widowControl w:val="0"/>
              <w:spacing w:before="0" w:after="240"/>
              <w:rPr>
                <w:rFonts w:eastAsia="Arial" w:cs="Arial"/>
                <w:sz w:val="16"/>
                <w:szCs w:val="16"/>
                <w:lang w:eastAsia="en-GB"/>
              </w:rPr>
            </w:pPr>
          </w:p>
        </w:tc>
        <w:tc>
          <w:tcPr>
            <w:tcW w:w="4530" w:type="dxa"/>
            <w:tcMar>
              <w:top w:w="57" w:type="dxa"/>
              <w:left w:w="57" w:type="dxa"/>
              <w:bottom w:w="57" w:type="dxa"/>
              <w:right w:w="57" w:type="dxa"/>
            </w:tcMar>
          </w:tcPr>
          <w:p w14:paraId="47B76D5D" w14:textId="77777777" w:rsidR="002C7B4F" w:rsidRPr="00CA75A2" w:rsidRDefault="002C7B4F" w:rsidP="00CA75A2">
            <w:pPr>
              <w:widowControl w:val="0"/>
              <w:numPr>
                <w:ilvl w:val="0"/>
                <w:numId w:val="28"/>
              </w:numPr>
              <w:spacing w:before="60" w:after="60" w:line="259" w:lineRule="auto"/>
              <w:ind w:left="483"/>
              <w:rPr>
                <w:rFonts w:eastAsia="Arial" w:cs="Arial"/>
                <w:sz w:val="20"/>
                <w:szCs w:val="20"/>
                <w:lang w:eastAsia="en-GB"/>
              </w:rPr>
            </w:pPr>
            <w:r w:rsidRPr="00CA75A2">
              <w:rPr>
                <w:rFonts w:eastAsia="Arial" w:cs="Arial"/>
                <w:color w:val="000000"/>
                <w:sz w:val="20"/>
                <w:szCs w:val="20"/>
                <w:lang w:eastAsia="en-GB"/>
              </w:rPr>
              <w:t xml:space="preserve">SFI: Performance - </w:t>
            </w:r>
            <w:r w:rsidRPr="00CA75A2">
              <w:rPr>
                <w:rFonts w:eastAsia="Arial" w:cs="Arial"/>
                <w:sz w:val="20"/>
                <w:szCs w:val="20"/>
                <w:lang w:eastAsia="en-GB"/>
              </w:rPr>
              <w:t>Key Performance Indicators (KPIs)</w:t>
            </w:r>
          </w:p>
        </w:tc>
        <w:tc>
          <w:tcPr>
            <w:tcW w:w="4677" w:type="dxa"/>
          </w:tcPr>
          <w:p w14:paraId="62EB57AF"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No feedback from the market.</w:t>
            </w:r>
          </w:p>
        </w:tc>
      </w:tr>
      <w:tr w:rsidR="002C7B4F" w:rsidRPr="002C7B4F" w14:paraId="1A6804AF" w14:textId="77777777" w:rsidTr="00CA75A2">
        <w:trPr>
          <w:gridBefore w:val="1"/>
          <w:wBefore w:w="6" w:type="dxa"/>
          <w:jc w:val="center"/>
        </w:trPr>
        <w:tc>
          <w:tcPr>
            <w:tcW w:w="966" w:type="dxa"/>
            <w:vMerge w:val="restart"/>
            <w:tcMar>
              <w:top w:w="57" w:type="dxa"/>
              <w:left w:w="57" w:type="dxa"/>
              <w:bottom w:w="57" w:type="dxa"/>
              <w:right w:w="57" w:type="dxa"/>
            </w:tcMar>
          </w:tcPr>
          <w:p w14:paraId="19ACB877" w14:textId="77777777" w:rsidR="002C7B4F" w:rsidRPr="002C7B4F" w:rsidRDefault="002C7B4F" w:rsidP="002C7B4F">
            <w:pPr>
              <w:widowControl w:val="0"/>
              <w:spacing w:before="0" w:after="240"/>
              <w:rPr>
                <w:rFonts w:eastAsia="Arial" w:cs="Arial"/>
                <w:sz w:val="16"/>
                <w:szCs w:val="16"/>
                <w:lang w:eastAsia="en-GB"/>
              </w:rPr>
            </w:pPr>
          </w:p>
        </w:tc>
        <w:tc>
          <w:tcPr>
            <w:tcW w:w="4530" w:type="dxa"/>
            <w:tcMar>
              <w:top w:w="57" w:type="dxa"/>
              <w:left w:w="57" w:type="dxa"/>
              <w:bottom w:w="57" w:type="dxa"/>
              <w:right w:w="57" w:type="dxa"/>
            </w:tcMar>
          </w:tcPr>
          <w:p w14:paraId="122D6B33"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SFI: Performance - Incentivised Performance Group and Task Level Indicators (TLIs)</w:t>
            </w:r>
          </w:p>
        </w:tc>
        <w:tc>
          <w:tcPr>
            <w:tcW w:w="4677" w:type="dxa"/>
          </w:tcPr>
          <w:p w14:paraId="73763F51" w14:textId="77777777" w:rsidR="002C7B4F" w:rsidRPr="00CA75A2" w:rsidRDefault="002C7B4F"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The market believed that he gap between the payout for Green and High Amber seemed too high.</w:t>
            </w:r>
          </w:p>
        </w:tc>
      </w:tr>
      <w:tr w:rsidR="002C7B4F" w:rsidRPr="002C7B4F" w14:paraId="1ED59844" w14:textId="77777777" w:rsidTr="00CA75A2">
        <w:trPr>
          <w:gridBefore w:val="1"/>
          <w:wBefore w:w="6" w:type="dxa"/>
          <w:trHeight w:val="425"/>
          <w:jc w:val="center"/>
        </w:trPr>
        <w:tc>
          <w:tcPr>
            <w:tcW w:w="966" w:type="dxa"/>
            <w:vMerge/>
            <w:tcMar>
              <w:top w:w="57" w:type="dxa"/>
              <w:left w:w="57" w:type="dxa"/>
              <w:bottom w:w="57" w:type="dxa"/>
              <w:right w:w="57" w:type="dxa"/>
            </w:tcMar>
          </w:tcPr>
          <w:p w14:paraId="23886399"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FF9900"/>
                <w:sz w:val="16"/>
                <w:szCs w:val="16"/>
                <w:highlight w:val="yellow"/>
                <w:lang w:eastAsia="en-GB"/>
              </w:rPr>
            </w:pPr>
          </w:p>
        </w:tc>
        <w:tc>
          <w:tcPr>
            <w:tcW w:w="4530" w:type="dxa"/>
            <w:tcMar>
              <w:top w:w="57" w:type="dxa"/>
              <w:left w:w="57" w:type="dxa"/>
              <w:bottom w:w="57" w:type="dxa"/>
              <w:right w:w="57" w:type="dxa"/>
            </w:tcMar>
          </w:tcPr>
          <w:p w14:paraId="4261BCFF"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SFI: Social Value</w:t>
            </w:r>
          </w:p>
        </w:tc>
        <w:tc>
          <w:tcPr>
            <w:tcW w:w="4677" w:type="dxa"/>
          </w:tcPr>
          <w:p w14:paraId="3A9C695D"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requested more details on social value scoring model and method of measurement. It was suggested to investigate if the social value scoring can be gamed. In addition, they believed Pass/Fail for 25% of SFI may not drive the best behaviours or intentions to maximised SV outcomes. The risk of SCDP abandoning any further investments in SV delivery once they forecast that they will not be able to deliver 100% of their commitments was also highlighted. </w:t>
            </w:r>
          </w:p>
          <w:p w14:paraId="43345FDB"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Clarifications about responsibility of social value delivery in case of e.g. consortia and location for delivery of social value initiatives were also raised. </w:t>
            </w:r>
          </w:p>
          <w:p w14:paraId="138197C5"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More details on funding of social value delivery e.g. how costs that are directly linked to the delivery of a Task Order or Performance KPI, which also achieve a social value commitment will be treated. </w:t>
            </w:r>
          </w:p>
          <w:p w14:paraId="658E4AB9" w14:textId="77777777" w:rsidR="002C7B4F" w:rsidRPr="00CA75A2" w:rsidRDefault="002C7B4F"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The market also emphasised the need for the right mechanism to be delivered that will manage longer term changes to social value requirements</w:t>
            </w:r>
          </w:p>
        </w:tc>
      </w:tr>
      <w:tr w:rsidR="002C7B4F" w:rsidRPr="002C7B4F" w14:paraId="3FA7AC3C" w14:textId="77777777" w:rsidTr="00CA75A2">
        <w:trPr>
          <w:gridBefore w:val="1"/>
          <w:wBefore w:w="6" w:type="dxa"/>
          <w:trHeight w:val="425"/>
          <w:jc w:val="center"/>
        </w:trPr>
        <w:tc>
          <w:tcPr>
            <w:tcW w:w="966" w:type="dxa"/>
            <w:vMerge/>
            <w:tcMar>
              <w:top w:w="57" w:type="dxa"/>
              <w:left w:w="57" w:type="dxa"/>
              <w:bottom w:w="57" w:type="dxa"/>
              <w:right w:w="57" w:type="dxa"/>
            </w:tcMar>
          </w:tcPr>
          <w:p w14:paraId="033F2241"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FF9900"/>
                <w:sz w:val="16"/>
                <w:szCs w:val="16"/>
                <w:lang w:eastAsia="en-GB"/>
              </w:rPr>
            </w:pPr>
          </w:p>
        </w:tc>
        <w:tc>
          <w:tcPr>
            <w:tcW w:w="4530" w:type="dxa"/>
            <w:tcMar>
              <w:top w:w="57" w:type="dxa"/>
              <w:left w:w="57" w:type="dxa"/>
              <w:bottom w:w="57" w:type="dxa"/>
              <w:right w:w="57" w:type="dxa"/>
            </w:tcMar>
          </w:tcPr>
          <w:p w14:paraId="2811B7E9" w14:textId="77777777" w:rsidR="002C7B4F" w:rsidRPr="00CA75A2" w:rsidRDefault="002C7B4F" w:rsidP="00CA75A2">
            <w:pPr>
              <w:widowControl w:val="0"/>
              <w:numPr>
                <w:ilvl w:val="0"/>
                <w:numId w:val="28"/>
              </w:numPr>
              <w:spacing w:before="60" w:after="60" w:line="259" w:lineRule="auto"/>
              <w:ind w:left="483"/>
              <w:rPr>
                <w:rFonts w:eastAsia="Arial" w:cs="Arial"/>
                <w:sz w:val="20"/>
                <w:szCs w:val="20"/>
                <w:lang w:eastAsia="en-GB"/>
              </w:rPr>
            </w:pPr>
            <w:r w:rsidRPr="00CA75A2">
              <w:rPr>
                <w:rFonts w:eastAsia="Arial" w:cs="Arial"/>
                <w:sz w:val="20"/>
                <w:szCs w:val="20"/>
                <w:lang w:eastAsia="en-GB"/>
              </w:rPr>
              <w:t xml:space="preserve">Joint incentivisation (Level 2) </w:t>
            </w:r>
          </w:p>
        </w:tc>
        <w:tc>
          <w:tcPr>
            <w:tcW w:w="4677" w:type="dxa"/>
          </w:tcPr>
          <w:p w14:paraId="4AC92423"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asked how this differs from the Performance Group KPI. </w:t>
            </w:r>
          </w:p>
          <w:p w14:paraId="34476F70"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Also, further details were requested to understand the shared objectives and output-based programme wide milestones and how this relates to the SCDP scope / programme. </w:t>
            </w:r>
          </w:p>
          <w:p w14:paraId="75DD237F" w14:textId="77777777" w:rsidR="002C7B4F" w:rsidRPr="00CA75A2" w:rsidRDefault="002C7B4F"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Further, the market also wanted to know how the ‘additional profit’, will be calculated and agreed and will this figure be harmonised across all programme-wide partners.</w:t>
            </w:r>
          </w:p>
        </w:tc>
      </w:tr>
      <w:tr w:rsidR="002C7B4F" w:rsidRPr="002C7B4F" w14:paraId="2CA17928" w14:textId="77777777" w:rsidTr="00CA75A2">
        <w:trPr>
          <w:gridBefore w:val="1"/>
          <w:wBefore w:w="6" w:type="dxa"/>
          <w:trHeight w:val="425"/>
          <w:jc w:val="center"/>
        </w:trPr>
        <w:tc>
          <w:tcPr>
            <w:tcW w:w="966" w:type="dxa"/>
            <w:vMerge/>
            <w:tcMar>
              <w:top w:w="57" w:type="dxa"/>
              <w:left w:w="57" w:type="dxa"/>
              <w:bottom w:w="57" w:type="dxa"/>
              <w:right w:w="57" w:type="dxa"/>
            </w:tcMar>
          </w:tcPr>
          <w:p w14:paraId="1E873F42"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FF9900"/>
                <w:sz w:val="16"/>
                <w:szCs w:val="16"/>
                <w:lang w:eastAsia="en-GB"/>
              </w:rPr>
            </w:pPr>
          </w:p>
        </w:tc>
        <w:tc>
          <w:tcPr>
            <w:tcW w:w="4530" w:type="dxa"/>
            <w:tcMar>
              <w:top w:w="57" w:type="dxa"/>
              <w:left w:w="57" w:type="dxa"/>
              <w:bottom w:w="57" w:type="dxa"/>
              <w:right w:w="57" w:type="dxa"/>
            </w:tcMar>
          </w:tcPr>
          <w:p w14:paraId="45928910"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Savings share mechanism</w:t>
            </w:r>
            <w:r w:rsidRPr="00CA75A2">
              <w:rPr>
                <w:rFonts w:eastAsia="Arial" w:cs="Arial"/>
                <w:sz w:val="20"/>
                <w:szCs w:val="20"/>
                <w:lang w:eastAsia="en-GB"/>
              </w:rPr>
              <w:t xml:space="preserve"> (Level 3) </w:t>
            </w:r>
          </w:p>
        </w:tc>
        <w:tc>
          <w:tcPr>
            <w:tcW w:w="4677" w:type="dxa"/>
          </w:tcPr>
          <w:p w14:paraId="21A10C99"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The market requested more clarity on how the baseline is agreed against which to assess savings.</w:t>
            </w:r>
          </w:p>
          <w:p w14:paraId="02715769"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In addition, it was suggested to Develop Level 3 beyond just a cost savings share model e.g. consideration of something of better quality but cost more or time savings/acceleration. </w:t>
            </w:r>
          </w:p>
          <w:p w14:paraId="5133005B" w14:textId="77777777" w:rsidR="002C7B4F" w:rsidRPr="00CA75A2" w:rsidRDefault="002C7B4F"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A worked examples were requested to understand how this mechanism is intended to work.</w:t>
            </w:r>
          </w:p>
        </w:tc>
      </w:tr>
      <w:tr w:rsidR="002C7B4F" w:rsidRPr="002C7B4F" w14:paraId="3125CF43" w14:textId="77777777" w:rsidTr="00CA75A2">
        <w:trPr>
          <w:gridBefore w:val="1"/>
          <w:wBefore w:w="6" w:type="dxa"/>
          <w:trHeight w:val="425"/>
          <w:jc w:val="center"/>
        </w:trPr>
        <w:tc>
          <w:tcPr>
            <w:tcW w:w="966" w:type="dxa"/>
            <w:vMerge/>
            <w:tcMar>
              <w:top w:w="57" w:type="dxa"/>
              <w:left w:w="57" w:type="dxa"/>
              <w:bottom w:w="57" w:type="dxa"/>
              <w:right w:w="57" w:type="dxa"/>
            </w:tcMar>
          </w:tcPr>
          <w:p w14:paraId="49B1B2B2"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FF9900"/>
                <w:sz w:val="16"/>
                <w:szCs w:val="16"/>
                <w:lang w:eastAsia="en-GB"/>
              </w:rPr>
            </w:pPr>
          </w:p>
        </w:tc>
        <w:tc>
          <w:tcPr>
            <w:tcW w:w="4530" w:type="dxa"/>
            <w:tcMar>
              <w:top w:w="57" w:type="dxa"/>
              <w:left w:w="57" w:type="dxa"/>
              <w:bottom w:w="57" w:type="dxa"/>
              <w:right w:w="57" w:type="dxa"/>
            </w:tcMar>
          </w:tcPr>
          <w:p w14:paraId="41213539"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Collaboration</w:t>
            </w:r>
          </w:p>
        </w:tc>
        <w:tc>
          <w:tcPr>
            <w:tcW w:w="4677" w:type="dxa"/>
          </w:tcPr>
          <w:p w14:paraId="3203AE64"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believed that SCDP should be involved in identifying and agreeing the objectives of the collaborative relationship. </w:t>
            </w:r>
          </w:p>
          <w:p w14:paraId="5FD2B2E4" w14:textId="77777777" w:rsidR="002C7B4F" w:rsidRPr="00CA75A2" w:rsidRDefault="002C7B4F"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 xml:space="preserve">Also, the need for consistency among other contracts was emphasised. </w:t>
            </w:r>
          </w:p>
        </w:tc>
      </w:tr>
      <w:tr w:rsidR="002C7B4F" w:rsidRPr="002C7B4F" w14:paraId="5F8CAAD1" w14:textId="77777777" w:rsidTr="00CA75A2">
        <w:trPr>
          <w:gridBefore w:val="1"/>
          <w:wBefore w:w="6" w:type="dxa"/>
          <w:trHeight w:val="425"/>
          <w:jc w:val="center"/>
        </w:trPr>
        <w:tc>
          <w:tcPr>
            <w:tcW w:w="966" w:type="dxa"/>
            <w:vMerge/>
            <w:tcMar>
              <w:top w:w="57" w:type="dxa"/>
              <w:left w:w="57" w:type="dxa"/>
              <w:bottom w:w="57" w:type="dxa"/>
              <w:right w:w="57" w:type="dxa"/>
            </w:tcMar>
          </w:tcPr>
          <w:p w14:paraId="128D0F8A"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highlight w:val="yellow"/>
                <w:lang w:eastAsia="en-GB"/>
              </w:rPr>
            </w:pPr>
          </w:p>
        </w:tc>
        <w:tc>
          <w:tcPr>
            <w:tcW w:w="4530" w:type="dxa"/>
            <w:tcMar>
              <w:top w:w="57" w:type="dxa"/>
              <w:left w:w="57" w:type="dxa"/>
              <w:bottom w:w="57" w:type="dxa"/>
              <w:right w:w="57" w:type="dxa"/>
            </w:tcMar>
          </w:tcPr>
          <w:p w14:paraId="4899DE93"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Term</w:t>
            </w:r>
          </w:p>
        </w:tc>
        <w:tc>
          <w:tcPr>
            <w:tcW w:w="4677" w:type="dxa"/>
          </w:tcPr>
          <w:p w14:paraId="51FC8525"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No feedback from the market.</w:t>
            </w:r>
          </w:p>
        </w:tc>
      </w:tr>
      <w:tr w:rsidR="002C7B4F" w:rsidRPr="002C7B4F" w14:paraId="6A13EBAA" w14:textId="77777777" w:rsidTr="00CA75A2">
        <w:trPr>
          <w:gridBefore w:val="1"/>
          <w:wBefore w:w="6" w:type="dxa"/>
          <w:trHeight w:val="425"/>
          <w:jc w:val="center"/>
        </w:trPr>
        <w:tc>
          <w:tcPr>
            <w:tcW w:w="966" w:type="dxa"/>
            <w:vMerge/>
            <w:tcMar>
              <w:top w:w="57" w:type="dxa"/>
              <w:left w:w="57" w:type="dxa"/>
              <w:bottom w:w="57" w:type="dxa"/>
              <w:right w:w="57" w:type="dxa"/>
            </w:tcMar>
          </w:tcPr>
          <w:p w14:paraId="3281ED9E"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3D858A22"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Conflicts of Interest</w:t>
            </w:r>
          </w:p>
        </w:tc>
        <w:tc>
          <w:tcPr>
            <w:tcW w:w="4677" w:type="dxa"/>
          </w:tcPr>
          <w:p w14:paraId="47111BFC"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The market requested guidance on how they can factor into the tenders the capability to deliver some of the NWS Contracted Scope since this could be part of the value proposition within the tenders, but SCDP is not permitted to tender for NWS Contracted Scope.</w:t>
            </w:r>
            <w:r w:rsidRPr="00CA75A2">
              <w:rPr>
                <w:rFonts w:eastAsia="Arial" w:cs="Arial"/>
                <w:sz w:val="20"/>
                <w:szCs w:val="20"/>
                <w:highlight w:val="green"/>
                <w:lang w:eastAsia="en-GB"/>
              </w:rPr>
              <w:t xml:space="preserve"> </w:t>
            </w:r>
          </w:p>
          <w:p w14:paraId="104F98FB"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They requested to confirm the principles of the evaluation criteria.</w:t>
            </w:r>
          </w:p>
          <w:p w14:paraId="351F3A88" w14:textId="1E7BC944"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also requested to provide definitions for SCDP Contractor, tier 1 contractor and consortium member. </w:t>
            </w:r>
          </w:p>
          <w:p w14:paraId="0A153160" w14:textId="77777777" w:rsidR="002C7B4F" w:rsidRPr="00CA75A2" w:rsidRDefault="002C7B4F" w:rsidP="00CA75A2">
            <w:pPr>
              <w:widowControl w:val="0"/>
              <w:spacing w:before="60" w:after="60"/>
              <w:rPr>
                <w:rFonts w:eastAsia="Arial" w:cs="Arial"/>
                <w:sz w:val="20"/>
                <w:szCs w:val="20"/>
                <w:highlight w:val="yellow"/>
                <w:lang w:eastAsia="en-GB"/>
              </w:rPr>
            </w:pPr>
            <w:r w:rsidRPr="00CA75A2">
              <w:rPr>
                <w:rFonts w:eastAsia="Arial" w:cs="Arial"/>
                <w:sz w:val="20"/>
                <w:szCs w:val="20"/>
                <w:lang w:eastAsia="en-GB"/>
              </w:rPr>
              <w:t xml:space="preserve">Also, it was not clear if the bidding restriction is limited to the SCDP contractor that this mean any party named in the SCDP contract with the Client or extends to include other members of the SCDP Contractor supply chain. </w:t>
            </w:r>
          </w:p>
        </w:tc>
      </w:tr>
      <w:tr w:rsidR="002C7B4F" w:rsidRPr="002C7B4F" w14:paraId="23078323" w14:textId="77777777" w:rsidTr="00CA75A2">
        <w:trPr>
          <w:gridBefore w:val="1"/>
          <w:wBefore w:w="6" w:type="dxa"/>
          <w:trHeight w:val="425"/>
          <w:jc w:val="center"/>
        </w:trPr>
        <w:tc>
          <w:tcPr>
            <w:tcW w:w="966" w:type="dxa"/>
            <w:vMerge/>
            <w:tcMar>
              <w:top w:w="57" w:type="dxa"/>
              <w:left w:w="57" w:type="dxa"/>
              <w:bottom w:w="57" w:type="dxa"/>
              <w:right w:w="57" w:type="dxa"/>
            </w:tcMar>
          </w:tcPr>
          <w:p w14:paraId="1944D704"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00F96A68"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Termination</w:t>
            </w:r>
          </w:p>
        </w:tc>
        <w:tc>
          <w:tcPr>
            <w:tcW w:w="4677" w:type="dxa"/>
          </w:tcPr>
          <w:p w14:paraId="7B73C2DD" w14:textId="77777777" w:rsidR="002C7B4F" w:rsidRPr="00CA75A2" w:rsidRDefault="002C7B4F"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A comment was raised by the market that the balance of in-year SFI with-held by the Client on works and services delivered up to the date of termination for convenience by the Client should be paid to the SCDP where the Client terminates for convenience.</w:t>
            </w:r>
          </w:p>
        </w:tc>
      </w:tr>
      <w:tr w:rsidR="002C7B4F" w:rsidRPr="002C7B4F" w14:paraId="68E0528D" w14:textId="77777777" w:rsidTr="00CA75A2">
        <w:trPr>
          <w:gridBefore w:val="1"/>
          <w:wBefore w:w="6" w:type="dxa"/>
          <w:trHeight w:val="425"/>
          <w:jc w:val="center"/>
        </w:trPr>
        <w:tc>
          <w:tcPr>
            <w:tcW w:w="966" w:type="dxa"/>
            <w:vMerge/>
            <w:tcMar>
              <w:top w:w="57" w:type="dxa"/>
              <w:left w:w="57" w:type="dxa"/>
              <w:bottom w:w="57" w:type="dxa"/>
              <w:right w:w="57" w:type="dxa"/>
            </w:tcMar>
          </w:tcPr>
          <w:p w14:paraId="723E957A"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65F95943"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Project Site(s)</w:t>
            </w:r>
          </w:p>
        </w:tc>
        <w:tc>
          <w:tcPr>
            <w:tcW w:w="4677" w:type="dxa"/>
          </w:tcPr>
          <w:p w14:paraId="29E24791" w14:textId="77777777" w:rsidR="002C7B4F" w:rsidRPr="00CA75A2" w:rsidRDefault="002C7B4F" w:rsidP="00CA75A2">
            <w:pPr>
              <w:widowControl w:val="0"/>
              <w:spacing w:before="60" w:after="60"/>
              <w:rPr>
                <w:rFonts w:eastAsia="Arial" w:cs="Arial"/>
                <w:sz w:val="20"/>
                <w:szCs w:val="20"/>
                <w:highlight w:val="yellow"/>
                <w:lang w:eastAsia="en-GB"/>
              </w:rPr>
            </w:pPr>
            <w:r w:rsidRPr="00CA75A2">
              <w:rPr>
                <w:rFonts w:eastAsia="Arial" w:cs="Arial"/>
                <w:sz w:val="20"/>
                <w:szCs w:val="20"/>
                <w:lang w:eastAsia="en-GB"/>
              </w:rPr>
              <w:t>In terms of Project Sites, the market requested specification as to which party will be holding overall ownership of them, will have overall control of them, will be responsible for safety and will be managing the interfaces between the works undertaken by the SCDP and other parties working on the Sites. Liability for damage caused by others, as well as theft, vandalism etc. at each Project Site will also need to be defined.</w:t>
            </w:r>
          </w:p>
        </w:tc>
      </w:tr>
      <w:tr w:rsidR="002C7B4F" w:rsidRPr="002C7B4F" w14:paraId="1DBEE622" w14:textId="77777777" w:rsidTr="00CA75A2">
        <w:trPr>
          <w:gridBefore w:val="1"/>
          <w:wBefore w:w="6" w:type="dxa"/>
          <w:trHeight w:val="425"/>
          <w:jc w:val="center"/>
        </w:trPr>
        <w:tc>
          <w:tcPr>
            <w:tcW w:w="966" w:type="dxa"/>
            <w:vMerge/>
            <w:tcMar>
              <w:top w:w="57" w:type="dxa"/>
              <w:left w:w="57" w:type="dxa"/>
              <w:bottom w:w="57" w:type="dxa"/>
              <w:right w:w="57" w:type="dxa"/>
            </w:tcMar>
          </w:tcPr>
          <w:p w14:paraId="00CBD301"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266A706E"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NWS Obligations</w:t>
            </w:r>
          </w:p>
        </w:tc>
        <w:tc>
          <w:tcPr>
            <w:tcW w:w="4677" w:type="dxa"/>
          </w:tcPr>
          <w:p w14:paraId="5C680619" w14:textId="77777777" w:rsidR="002C7B4F" w:rsidRPr="00CA75A2" w:rsidRDefault="002C7B4F" w:rsidP="00CA75A2">
            <w:pPr>
              <w:widowControl w:val="0"/>
              <w:spacing w:before="60" w:after="60"/>
              <w:rPr>
                <w:rFonts w:eastAsia="Arial" w:cs="Arial"/>
                <w:sz w:val="20"/>
                <w:szCs w:val="20"/>
                <w:highlight w:val="yellow"/>
                <w:lang w:eastAsia="en-GB"/>
              </w:rPr>
            </w:pPr>
            <w:r w:rsidRPr="00CA75A2">
              <w:rPr>
                <w:rFonts w:eastAsia="Arial" w:cs="Arial"/>
                <w:sz w:val="20"/>
                <w:szCs w:val="20"/>
                <w:lang w:eastAsia="en-GB"/>
              </w:rPr>
              <w:t>The market requested more clarity in regard to SCDP delegated powers to ensure performance of contractors.</w:t>
            </w:r>
          </w:p>
        </w:tc>
      </w:tr>
      <w:tr w:rsidR="002C7B4F" w:rsidRPr="002C7B4F" w14:paraId="25A5E69B" w14:textId="77777777" w:rsidTr="00CA75A2">
        <w:trPr>
          <w:gridBefore w:val="1"/>
          <w:wBefore w:w="6" w:type="dxa"/>
          <w:trHeight w:val="425"/>
          <w:jc w:val="center"/>
        </w:trPr>
        <w:tc>
          <w:tcPr>
            <w:tcW w:w="966" w:type="dxa"/>
            <w:vMerge w:val="restart"/>
            <w:tcMar>
              <w:top w:w="57" w:type="dxa"/>
              <w:left w:w="57" w:type="dxa"/>
              <w:bottom w:w="57" w:type="dxa"/>
              <w:right w:w="57" w:type="dxa"/>
            </w:tcMar>
          </w:tcPr>
          <w:p w14:paraId="3F8F5781"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791CCFB2" w14:textId="77777777" w:rsidR="002C7B4F" w:rsidRPr="00CA75A2" w:rsidRDefault="002C7B4F" w:rsidP="00CA75A2">
            <w:pPr>
              <w:widowControl w:val="0"/>
              <w:numPr>
                <w:ilvl w:val="0"/>
                <w:numId w:val="28"/>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Dispute Resolution</w:t>
            </w:r>
          </w:p>
        </w:tc>
        <w:tc>
          <w:tcPr>
            <w:tcW w:w="4677" w:type="dxa"/>
          </w:tcPr>
          <w:p w14:paraId="6158C5B7" w14:textId="77777777" w:rsidR="002C7B4F" w:rsidRPr="00CA75A2" w:rsidRDefault="002C7B4F" w:rsidP="00CA75A2">
            <w:pPr>
              <w:widowControl w:val="0"/>
              <w:spacing w:before="60" w:after="60"/>
              <w:rPr>
                <w:rFonts w:eastAsia="Arial" w:cs="Arial"/>
                <w:color w:val="000000"/>
                <w:sz w:val="20"/>
                <w:szCs w:val="20"/>
                <w:lang w:eastAsia="en-GB"/>
              </w:rPr>
            </w:pPr>
            <w:r w:rsidRPr="00CA75A2">
              <w:rPr>
                <w:rFonts w:eastAsia="Arial" w:cs="Arial"/>
                <w:color w:val="000000"/>
                <w:sz w:val="20"/>
                <w:szCs w:val="20"/>
                <w:lang w:eastAsia="en-GB"/>
              </w:rPr>
              <w:t>No feedback from the market.</w:t>
            </w:r>
          </w:p>
        </w:tc>
      </w:tr>
      <w:tr w:rsidR="002C7B4F" w:rsidRPr="002C7B4F" w14:paraId="21C6B5EC" w14:textId="77777777" w:rsidTr="00CA75A2">
        <w:trPr>
          <w:gridBefore w:val="1"/>
          <w:wBefore w:w="6" w:type="dxa"/>
          <w:trHeight w:val="425"/>
          <w:jc w:val="center"/>
        </w:trPr>
        <w:tc>
          <w:tcPr>
            <w:tcW w:w="966" w:type="dxa"/>
            <w:vMerge/>
            <w:tcMar>
              <w:top w:w="57" w:type="dxa"/>
              <w:left w:w="57" w:type="dxa"/>
              <w:bottom w:w="57" w:type="dxa"/>
              <w:right w:w="57" w:type="dxa"/>
            </w:tcMar>
          </w:tcPr>
          <w:p w14:paraId="688C9C14"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754C87F3" w14:textId="77777777" w:rsidR="002C7B4F" w:rsidRPr="00CA75A2" w:rsidRDefault="002C7B4F"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color w:val="000000"/>
                <w:sz w:val="20"/>
                <w:szCs w:val="20"/>
                <w:lang w:eastAsia="en-GB"/>
              </w:rPr>
              <w:t>Delivery Model Assessment (DMA) / Make or Buy</w:t>
            </w:r>
          </w:p>
        </w:tc>
        <w:tc>
          <w:tcPr>
            <w:tcW w:w="4677" w:type="dxa"/>
          </w:tcPr>
          <w:p w14:paraId="14086992" w14:textId="77777777" w:rsidR="002C7B4F" w:rsidRPr="00CA75A2" w:rsidRDefault="002C7B4F" w:rsidP="00CA75A2">
            <w:pPr>
              <w:widowControl w:val="0"/>
              <w:spacing w:before="60" w:after="60"/>
              <w:rPr>
                <w:rFonts w:eastAsia="Arial" w:cs="Arial"/>
                <w:sz w:val="20"/>
                <w:szCs w:val="20"/>
                <w:highlight w:val="yellow"/>
                <w:lang w:eastAsia="en-GB"/>
              </w:rPr>
            </w:pPr>
            <w:r w:rsidRPr="00CA75A2">
              <w:rPr>
                <w:rFonts w:eastAsia="Arial" w:cs="Arial"/>
                <w:sz w:val="20"/>
                <w:szCs w:val="20"/>
                <w:lang w:eastAsia="en-GB"/>
              </w:rPr>
              <w:t>The market requested to share a draft DMA template.</w:t>
            </w:r>
          </w:p>
        </w:tc>
      </w:tr>
      <w:tr w:rsidR="002C7B4F" w:rsidRPr="002C7B4F" w14:paraId="3C8D7DC1" w14:textId="77777777" w:rsidTr="00CA75A2">
        <w:trPr>
          <w:gridBefore w:val="1"/>
          <w:wBefore w:w="6" w:type="dxa"/>
          <w:trHeight w:val="425"/>
          <w:jc w:val="center"/>
        </w:trPr>
        <w:tc>
          <w:tcPr>
            <w:tcW w:w="966" w:type="dxa"/>
            <w:vMerge/>
            <w:tcMar>
              <w:top w:w="57" w:type="dxa"/>
              <w:left w:w="57" w:type="dxa"/>
              <w:bottom w:w="57" w:type="dxa"/>
              <w:right w:w="57" w:type="dxa"/>
            </w:tcMar>
          </w:tcPr>
          <w:p w14:paraId="5F3DD4D5"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621ACEC3" w14:textId="77777777" w:rsidR="002C7B4F" w:rsidRPr="00CA75A2" w:rsidRDefault="002C7B4F"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color w:val="000000"/>
                <w:sz w:val="20"/>
                <w:szCs w:val="20"/>
                <w:lang w:eastAsia="en-GB"/>
              </w:rPr>
              <w:t>Long Lead Plant &amp; Equipment Procured by NWS</w:t>
            </w:r>
          </w:p>
        </w:tc>
        <w:tc>
          <w:tcPr>
            <w:tcW w:w="4677" w:type="dxa"/>
          </w:tcPr>
          <w:p w14:paraId="397AF172"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No feedback from the market.</w:t>
            </w:r>
          </w:p>
        </w:tc>
      </w:tr>
      <w:tr w:rsidR="002C7B4F" w:rsidRPr="002C7B4F" w14:paraId="4205BA25" w14:textId="77777777" w:rsidTr="00CA75A2">
        <w:trPr>
          <w:trHeight w:val="425"/>
          <w:jc w:val="center"/>
        </w:trPr>
        <w:tc>
          <w:tcPr>
            <w:tcW w:w="972" w:type="dxa"/>
            <w:gridSpan w:val="2"/>
            <w:vMerge w:val="restart"/>
            <w:tcMar>
              <w:top w:w="57" w:type="dxa"/>
              <w:left w:w="57" w:type="dxa"/>
              <w:bottom w:w="57" w:type="dxa"/>
              <w:right w:w="57" w:type="dxa"/>
            </w:tcMar>
          </w:tcPr>
          <w:p w14:paraId="1B1E18B4" w14:textId="77777777" w:rsidR="002C7B4F" w:rsidRPr="002C7B4F" w:rsidRDefault="002C7B4F" w:rsidP="002C7B4F">
            <w:pPr>
              <w:widowControl w:val="0"/>
              <w:rPr>
                <w:rFonts w:eastAsia="Arial" w:cs="Arial"/>
                <w:sz w:val="16"/>
                <w:szCs w:val="16"/>
                <w:lang w:eastAsia="en-GB"/>
              </w:rPr>
            </w:pPr>
            <w:r w:rsidRPr="002C7B4F">
              <w:rPr>
                <w:rFonts w:eastAsia="Arial" w:cs="Arial"/>
                <w:sz w:val="16"/>
                <w:szCs w:val="16"/>
                <w:lang w:eastAsia="en-GB"/>
              </w:rPr>
              <w:t>Procurement Strategy</w:t>
            </w:r>
          </w:p>
        </w:tc>
        <w:tc>
          <w:tcPr>
            <w:tcW w:w="4530" w:type="dxa"/>
            <w:tcMar>
              <w:top w:w="57" w:type="dxa"/>
              <w:left w:w="57" w:type="dxa"/>
              <w:bottom w:w="57" w:type="dxa"/>
              <w:right w:w="57" w:type="dxa"/>
            </w:tcMar>
          </w:tcPr>
          <w:p w14:paraId="6CA65EB8" w14:textId="77777777" w:rsidR="002C7B4F" w:rsidRPr="00CA75A2" w:rsidRDefault="002C7B4F" w:rsidP="00CA75A2">
            <w:pPr>
              <w:widowControl w:val="0"/>
              <w:numPr>
                <w:ilvl w:val="0"/>
                <w:numId w:val="29"/>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Consortium or JV formation</w:t>
            </w:r>
          </w:p>
        </w:tc>
        <w:tc>
          <w:tcPr>
            <w:tcW w:w="4677" w:type="dxa"/>
          </w:tcPr>
          <w:p w14:paraId="458CB4ED"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No feedback from the market.</w:t>
            </w:r>
          </w:p>
        </w:tc>
      </w:tr>
      <w:tr w:rsidR="002C7B4F" w:rsidRPr="002C7B4F" w14:paraId="5CBA9522" w14:textId="77777777" w:rsidTr="00CA75A2">
        <w:trPr>
          <w:trHeight w:val="64"/>
          <w:jc w:val="center"/>
        </w:trPr>
        <w:tc>
          <w:tcPr>
            <w:tcW w:w="972" w:type="dxa"/>
            <w:gridSpan w:val="2"/>
            <w:vMerge/>
            <w:tcMar>
              <w:top w:w="57" w:type="dxa"/>
              <w:left w:w="57" w:type="dxa"/>
              <w:bottom w:w="57" w:type="dxa"/>
              <w:right w:w="57" w:type="dxa"/>
            </w:tcMar>
          </w:tcPr>
          <w:p w14:paraId="70C2F34E"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01FCFDB0" w14:textId="77777777" w:rsidR="002C7B4F" w:rsidRPr="00CA75A2" w:rsidRDefault="002C7B4F" w:rsidP="00CA75A2">
            <w:pPr>
              <w:widowControl w:val="0"/>
              <w:numPr>
                <w:ilvl w:val="0"/>
                <w:numId w:val="29"/>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 xml:space="preserve">Procurement Procedure under Procurement Act 2023 </w:t>
            </w:r>
          </w:p>
        </w:tc>
        <w:tc>
          <w:tcPr>
            <w:tcW w:w="4677" w:type="dxa"/>
          </w:tcPr>
          <w:p w14:paraId="619CF046"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No feedback from the market.</w:t>
            </w:r>
          </w:p>
        </w:tc>
      </w:tr>
      <w:tr w:rsidR="002C7B4F" w:rsidRPr="002C7B4F" w14:paraId="22EC326B" w14:textId="77777777" w:rsidTr="00CA75A2">
        <w:trPr>
          <w:trHeight w:val="391"/>
          <w:jc w:val="center"/>
        </w:trPr>
        <w:tc>
          <w:tcPr>
            <w:tcW w:w="972" w:type="dxa"/>
            <w:gridSpan w:val="2"/>
            <w:vMerge/>
            <w:tcMar>
              <w:top w:w="57" w:type="dxa"/>
              <w:left w:w="57" w:type="dxa"/>
              <w:bottom w:w="57" w:type="dxa"/>
              <w:right w:w="57" w:type="dxa"/>
            </w:tcMar>
          </w:tcPr>
          <w:p w14:paraId="7CF812D0"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53F6B11E" w14:textId="77777777" w:rsidR="002C7B4F" w:rsidRPr="00CA75A2" w:rsidRDefault="002C7B4F" w:rsidP="00CA75A2">
            <w:pPr>
              <w:widowControl w:val="0"/>
              <w:numPr>
                <w:ilvl w:val="0"/>
                <w:numId w:val="29"/>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Conditions of Participation</w:t>
            </w:r>
          </w:p>
        </w:tc>
        <w:tc>
          <w:tcPr>
            <w:tcW w:w="4677" w:type="dxa"/>
          </w:tcPr>
          <w:p w14:paraId="39F5B9F8"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No feedback from the market.</w:t>
            </w:r>
          </w:p>
        </w:tc>
      </w:tr>
      <w:tr w:rsidR="002C7B4F" w:rsidRPr="002C7B4F" w14:paraId="37447A39" w14:textId="77777777" w:rsidTr="00CA75A2">
        <w:trPr>
          <w:trHeight w:val="1639"/>
          <w:jc w:val="center"/>
        </w:trPr>
        <w:tc>
          <w:tcPr>
            <w:tcW w:w="972" w:type="dxa"/>
            <w:gridSpan w:val="2"/>
            <w:vMerge/>
            <w:tcMar>
              <w:top w:w="57" w:type="dxa"/>
              <w:left w:w="57" w:type="dxa"/>
              <w:bottom w:w="57" w:type="dxa"/>
              <w:right w:w="57" w:type="dxa"/>
            </w:tcMar>
          </w:tcPr>
          <w:p w14:paraId="5A56E5BF" w14:textId="77777777" w:rsidR="002C7B4F" w:rsidRPr="002C7B4F" w:rsidRDefault="002C7B4F" w:rsidP="002C7B4F">
            <w:pPr>
              <w:widowControl w:val="0"/>
              <w:pBdr>
                <w:top w:val="nil"/>
                <w:left w:val="nil"/>
                <w:bottom w:val="nil"/>
                <w:right w:val="nil"/>
                <w:between w:val="nil"/>
              </w:pBdr>
              <w:spacing w:before="0" w:after="0" w:line="276" w:lineRule="auto"/>
              <w:rPr>
                <w:rFonts w:eastAsia="Arial" w:cs="Arial"/>
                <w:color w:val="000000"/>
                <w:sz w:val="16"/>
                <w:szCs w:val="16"/>
                <w:lang w:eastAsia="en-GB"/>
              </w:rPr>
            </w:pPr>
          </w:p>
        </w:tc>
        <w:tc>
          <w:tcPr>
            <w:tcW w:w="4530" w:type="dxa"/>
            <w:tcMar>
              <w:top w:w="57" w:type="dxa"/>
              <w:left w:w="57" w:type="dxa"/>
              <w:bottom w:w="57" w:type="dxa"/>
              <w:right w:w="57" w:type="dxa"/>
            </w:tcMar>
          </w:tcPr>
          <w:p w14:paraId="52B8B70A" w14:textId="77777777" w:rsidR="002C7B4F" w:rsidRPr="00CA75A2" w:rsidRDefault="002C7B4F" w:rsidP="00CA75A2">
            <w:pPr>
              <w:widowControl w:val="0"/>
              <w:numPr>
                <w:ilvl w:val="0"/>
                <w:numId w:val="29"/>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Contract Award Criteria</w:t>
            </w:r>
          </w:p>
        </w:tc>
        <w:tc>
          <w:tcPr>
            <w:tcW w:w="4677" w:type="dxa"/>
          </w:tcPr>
          <w:p w14:paraId="1352CEA1"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requested to provide list of non-negotiable contract terms. </w:t>
            </w:r>
          </w:p>
          <w:p w14:paraId="728D7167" w14:textId="039C2ED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There were also concerns raised that inclusion of salaries in the commercial assessment, will cause that that the lowest paid (least experienced/capable) core team will achieve the highest score. </w:t>
            </w:r>
          </w:p>
        </w:tc>
      </w:tr>
      <w:tr w:rsidR="002C7B4F" w:rsidRPr="002C7B4F" w14:paraId="64A29A10" w14:textId="77777777" w:rsidTr="00CA75A2">
        <w:trPr>
          <w:trHeight w:val="1005"/>
          <w:jc w:val="center"/>
        </w:trPr>
        <w:tc>
          <w:tcPr>
            <w:tcW w:w="972" w:type="dxa"/>
            <w:gridSpan w:val="2"/>
            <w:vMerge/>
            <w:tcMar>
              <w:top w:w="57" w:type="dxa"/>
              <w:left w:w="57" w:type="dxa"/>
              <w:bottom w:w="57" w:type="dxa"/>
              <w:right w:w="57" w:type="dxa"/>
            </w:tcMar>
          </w:tcPr>
          <w:p w14:paraId="5911B5A5" w14:textId="77777777" w:rsidR="002C7B4F" w:rsidRPr="002C7B4F" w:rsidRDefault="002C7B4F" w:rsidP="002C7B4F">
            <w:pPr>
              <w:widowControl w:val="0"/>
              <w:rPr>
                <w:rFonts w:eastAsia="Arial" w:cs="Arial"/>
                <w:sz w:val="16"/>
                <w:szCs w:val="16"/>
                <w:lang w:eastAsia="en-GB"/>
              </w:rPr>
            </w:pPr>
          </w:p>
        </w:tc>
        <w:tc>
          <w:tcPr>
            <w:tcW w:w="4530" w:type="dxa"/>
            <w:tcMar>
              <w:top w:w="57" w:type="dxa"/>
              <w:left w:w="57" w:type="dxa"/>
              <w:bottom w:w="57" w:type="dxa"/>
              <w:right w:w="57" w:type="dxa"/>
            </w:tcMar>
          </w:tcPr>
          <w:p w14:paraId="17726C16" w14:textId="77777777" w:rsidR="002C7B4F" w:rsidRPr="00CA75A2" w:rsidRDefault="002C7B4F" w:rsidP="00CA75A2">
            <w:pPr>
              <w:widowControl w:val="0"/>
              <w:numPr>
                <w:ilvl w:val="0"/>
                <w:numId w:val="29"/>
              </w:numPr>
              <w:pBdr>
                <w:top w:val="nil"/>
                <w:left w:val="nil"/>
                <w:bottom w:val="nil"/>
                <w:right w:val="nil"/>
                <w:between w:val="nil"/>
              </w:pBdr>
              <w:spacing w:before="60" w:after="60" w:line="259" w:lineRule="auto"/>
              <w:ind w:left="483"/>
              <w:rPr>
                <w:rFonts w:eastAsia="Arial" w:cs="Arial"/>
                <w:color w:val="000000"/>
                <w:sz w:val="20"/>
                <w:szCs w:val="20"/>
                <w:lang w:eastAsia="en-GB"/>
              </w:rPr>
            </w:pPr>
            <w:r w:rsidRPr="00CA75A2">
              <w:rPr>
                <w:rFonts w:eastAsia="Arial" w:cs="Arial"/>
                <w:color w:val="000000"/>
                <w:sz w:val="20"/>
                <w:szCs w:val="20"/>
                <w:lang w:eastAsia="en-GB"/>
              </w:rPr>
              <w:t>Test of Financial Standing</w:t>
            </w:r>
          </w:p>
        </w:tc>
        <w:tc>
          <w:tcPr>
            <w:tcW w:w="4677" w:type="dxa"/>
          </w:tcPr>
          <w:p w14:paraId="1BA9461C" w14:textId="77777777"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requested the Client to provide draft Initial Task Order and Task Zero Services requirement as part of the SQ pack to have basis on which to determine likely workshare in advance of the Test of Financial Standing. </w:t>
            </w:r>
          </w:p>
          <w:p w14:paraId="0F2DA1BD" w14:textId="7E531ADB" w:rsidR="002C7B4F" w:rsidRPr="00CA75A2" w:rsidRDefault="002C7B4F" w:rsidP="00CA75A2">
            <w:pPr>
              <w:widowControl w:val="0"/>
              <w:spacing w:before="60" w:after="60"/>
              <w:rPr>
                <w:rFonts w:eastAsia="Arial" w:cs="Arial"/>
                <w:sz w:val="20"/>
                <w:szCs w:val="20"/>
                <w:lang w:eastAsia="en-GB"/>
              </w:rPr>
            </w:pPr>
            <w:r w:rsidRPr="00CA75A2">
              <w:rPr>
                <w:rFonts w:eastAsia="Arial" w:cs="Arial"/>
                <w:sz w:val="20"/>
                <w:szCs w:val="20"/>
                <w:lang w:eastAsia="en-GB"/>
              </w:rPr>
              <w:t>The market also requested to set out the principles of liabilities that Key Subcontractors will owe the Client since Key Subcontractors are included in the Test of Financial Standing.</w:t>
            </w:r>
          </w:p>
        </w:tc>
      </w:tr>
    </w:tbl>
    <w:p w14:paraId="5FED358E" w14:textId="658E5011" w:rsidR="0077164D" w:rsidRDefault="009D78CB" w:rsidP="00CA75A2">
      <w:pPr>
        <w:pStyle w:val="Caption"/>
      </w:pPr>
      <w:bookmarkStart w:id="15" w:name="_Toc202532938"/>
      <w:r>
        <w:t xml:space="preserve">Table </w:t>
      </w:r>
      <w:r>
        <w:fldChar w:fldCharType="begin"/>
      </w:r>
      <w:r>
        <w:instrText xml:space="preserve"> SEQ Table \* ARABIC </w:instrText>
      </w:r>
      <w:r>
        <w:fldChar w:fldCharType="separate"/>
      </w:r>
      <w:r>
        <w:rPr>
          <w:noProof/>
        </w:rPr>
        <w:t>4</w:t>
      </w:r>
      <w:r>
        <w:rPr>
          <w:noProof/>
        </w:rPr>
        <w:fldChar w:fldCharType="end"/>
      </w:r>
      <w:r>
        <w:t xml:space="preserve">: </w:t>
      </w:r>
      <w:r w:rsidR="00C70DAE" w:rsidRPr="00C70DAE">
        <w:t>Contracting and Competition Principles Document</w:t>
      </w:r>
      <w:r w:rsidR="00C70DAE">
        <w:t xml:space="preserve"> Market Feedback</w:t>
      </w:r>
      <w:bookmarkEnd w:id="15"/>
    </w:p>
    <w:p w14:paraId="138687D7" w14:textId="4BD758C4" w:rsidR="0077164D" w:rsidRDefault="0057547E" w:rsidP="00CA75A2">
      <w:pPr>
        <w:pStyle w:val="Heading21"/>
      </w:pPr>
      <w:bookmarkStart w:id="16" w:name="_Toc202532934"/>
      <w:r w:rsidRPr="0057547E">
        <w:t>SFI Handbook</w:t>
      </w:r>
      <w:bookmarkEnd w:id="16"/>
    </w:p>
    <w:tbl>
      <w:tblPr>
        <w:tblW w:w="10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7"/>
        <w:gridCol w:w="4395"/>
        <w:gridCol w:w="4677"/>
      </w:tblGrid>
      <w:tr w:rsidR="00DA23D2" w:rsidRPr="00DA23D2" w14:paraId="2DBB44B6" w14:textId="77777777" w:rsidTr="00CA75A2">
        <w:trPr>
          <w:trHeight w:val="425"/>
          <w:tblHeader/>
          <w:jc w:val="center"/>
        </w:trPr>
        <w:tc>
          <w:tcPr>
            <w:tcW w:w="1107" w:type="dxa"/>
            <w:shd w:val="clear" w:color="auto" w:fill="004846"/>
            <w:tcMar>
              <w:top w:w="57" w:type="dxa"/>
              <w:left w:w="57" w:type="dxa"/>
              <w:bottom w:w="57" w:type="dxa"/>
              <w:right w:w="57" w:type="dxa"/>
            </w:tcMar>
            <w:vAlign w:val="center"/>
          </w:tcPr>
          <w:p w14:paraId="2F6780BB" w14:textId="77777777" w:rsidR="00DA23D2" w:rsidRPr="00CA75A2" w:rsidRDefault="00DA23D2" w:rsidP="00CA75A2">
            <w:pPr>
              <w:widowControl w:val="0"/>
              <w:pBdr>
                <w:top w:val="nil"/>
                <w:left w:val="nil"/>
                <w:bottom w:val="nil"/>
                <w:right w:val="nil"/>
                <w:between w:val="nil"/>
              </w:pBdr>
              <w:jc w:val="center"/>
              <w:rPr>
                <w:rFonts w:eastAsia="Arial" w:cs="Arial"/>
                <w:b/>
                <w:bCs/>
                <w:color w:val="FFFFFF" w:themeColor="background1"/>
                <w:sz w:val="20"/>
                <w:szCs w:val="20"/>
                <w:lang w:eastAsia="en-GB"/>
              </w:rPr>
            </w:pPr>
            <w:r w:rsidRPr="00CA75A2">
              <w:rPr>
                <w:rFonts w:eastAsia="Arial" w:cs="Arial"/>
                <w:b/>
                <w:bCs/>
                <w:color w:val="FFFFFF" w:themeColor="background1"/>
                <w:sz w:val="20"/>
                <w:szCs w:val="20"/>
                <w:lang w:eastAsia="en-GB"/>
              </w:rPr>
              <w:t>Topic Area</w:t>
            </w:r>
          </w:p>
        </w:tc>
        <w:tc>
          <w:tcPr>
            <w:tcW w:w="4395" w:type="dxa"/>
            <w:shd w:val="clear" w:color="auto" w:fill="004846"/>
            <w:tcMar>
              <w:top w:w="57" w:type="dxa"/>
              <w:left w:w="57" w:type="dxa"/>
              <w:bottom w:w="57" w:type="dxa"/>
              <w:right w:w="57" w:type="dxa"/>
            </w:tcMar>
            <w:vAlign w:val="center"/>
          </w:tcPr>
          <w:p w14:paraId="30C240AE" w14:textId="77777777" w:rsidR="00DA23D2" w:rsidRPr="00CA75A2" w:rsidRDefault="00DA23D2" w:rsidP="00CA75A2">
            <w:pPr>
              <w:widowControl w:val="0"/>
              <w:jc w:val="center"/>
              <w:rPr>
                <w:rFonts w:eastAsia="Arial" w:cs="Arial"/>
                <w:b/>
                <w:bCs/>
                <w:color w:val="FFFFFF" w:themeColor="background1"/>
                <w:sz w:val="20"/>
                <w:szCs w:val="20"/>
                <w:lang w:eastAsia="en-GB"/>
              </w:rPr>
            </w:pPr>
            <w:r w:rsidRPr="00CA75A2">
              <w:rPr>
                <w:rFonts w:eastAsia="Arial" w:cs="Arial"/>
                <w:b/>
                <w:bCs/>
                <w:color w:val="FFFFFF" w:themeColor="background1"/>
                <w:sz w:val="20"/>
                <w:szCs w:val="20"/>
                <w:lang w:eastAsia="en-GB"/>
              </w:rPr>
              <w:t>Issue</w:t>
            </w:r>
          </w:p>
        </w:tc>
        <w:tc>
          <w:tcPr>
            <w:tcW w:w="4677" w:type="dxa"/>
            <w:shd w:val="clear" w:color="auto" w:fill="004846"/>
            <w:vAlign w:val="center"/>
          </w:tcPr>
          <w:p w14:paraId="27381646" w14:textId="77777777" w:rsidR="00DA23D2" w:rsidRPr="00CA75A2" w:rsidRDefault="00DA23D2" w:rsidP="00CA75A2">
            <w:pPr>
              <w:widowControl w:val="0"/>
              <w:jc w:val="center"/>
              <w:rPr>
                <w:rFonts w:eastAsia="Arial" w:cs="Arial"/>
                <w:b/>
                <w:bCs/>
                <w:color w:val="FFFFFF" w:themeColor="background1"/>
                <w:sz w:val="20"/>
                <w:szCs w:val="20"/>
                <w:lang w:eastAsia="en-GB"/>
              </w:rPr>
            </w:pPr>
            <w:r w:rsidRPr="00CA75A2">
              <w:rPr>
                <w:rFonts w:eastAsia="Arial" w:cs="Arial"/>
                <w:b/>
                <w:bCs/>
                <w:color w:val="FFFFFF" w:themeColor="background1"/>
                <w:sz w:val="20"/>
                <w:szCs w:val="20"/>
                <w:lang w:eastAsia="en-GB"/>
              </w:rPr>
              <w:t>Market Feedback</w:t>
            </w:r>
          </w:p>
        </w:tc>
      </w:tr>
      <w:tr w:rsidR="00DA23D2" w:rsidRPr="00DA23D2" w14:paraId="4C962F0F" w14:textId="77777777" w:rsidTr="00CA75A2">
        <w:trPr>
          <w:trHeight w:val="425"/>
          <w:jc w:val="center"/>
        </w:trPr>
        <w:tc>
          <w:tcPr>
            <w:tcW w:w="1107" w:type="dxa"/>
            <w:tcMar>
              <w:top w:w="57" w:type="dxa"/>
              <w:left w:w="57" w:type="dxa"/>
              <w:bottom w:w="57" w:type="dxa"/>
              <w:right w:w="57" w:type="dxa"/>
            </w:tcMar>
          </w:tcPr>
          <w:p w14:paraId="0447C653"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50900736" w14:textId="77777777" w:rsidR="00DA23D2" w:rsidRPr="00CA75A2" w:rsidRDefault="00DA23D2" w:rsidP="00CA75A2">
            <w:pPr>
              <w:widowControl w:val="0"/>
              <w:spacing w:before="60" w:after="60"/>
              <w:rPr>
                <w:rFonts w:eastAsia="Arial" w:cs="Arial"/>
                <w:sz w:val="20"/>
                <w:szCs w:val="20"/>
                <w:lang w:val="en-US" w:eastAsia="en-GB"/>
              </w:rPr>
            </w:pPr>
            <w:r w:rsidRPr="00CA75A2">
              <w:rPr>
                <w:rFonts w:eastAsia="Arial" w:cs="Arial"/>
                <w:sz w:val="20"/>
                <w:szCs w:val="20"/>
                <w:lang w:val="en-US" w:eastAsia="en-GB"/>
              </w:rPr>
              <w:t>Overview of the SFI</w:t>
            </w:r>
          </w:p>
          <w:p w14:paraId="40719123"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 What is the SFI (page 5)</w:t>
            </w:r>
          </w:p>
        </w:tc>
        <w:tc>
          <w:tcPr>
            <w:tcW w:w="4677" w:type="dxa"/>
          </w:tcPr>
          <w:p w14:paraId="5FD9C27B" w14:textId="77777777"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recommended aligning the annual assessment with either a calendar or financial year (April – March) and using a simplified milestone approach for the first and last part years (related to mobilisation and demobilisation/handover respectively). </w:t>
            </w:r>
          </w:p>
          <w:p w14:paraId="605589D9" w14:textId="77777777" w:rsidR="00DA23D2" w:rsidRPr="00CA75A2" w:rsidRDefault="00DA23D2"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It was also proposed that the SCDP should have full relief from any third parties which impact the delivery of milestones or achievement of SCDP KPIs/tasks.</w:t>
            </w:r>
          </w:p>
        </w:tc>
      </w:tr>
      <w:tr w:rsidR="00DA23D2" w:rsidRPr="00DA23D2" w14:paraId="50265B85" w14:textId="77777777" w:rsidTr="00CA75A2">
        <w:trPr>
          <w:trHeight w:val="425"/>
          <w:jc w:val="center"/>
        </w:trPr>
        <w:tc>
          <w:tcPr>
            <w:tcW w:w="1107" w:type="dxa"/>
            <w:tcMar>
              <w:top w:w="57" w:type="dxa"/>
              <w:left w:w="57" w:type="dxa"/>
              <w:bottom w:w="57" w:type="dxa"/>
              <w:right w:w="57" w:type="dxa"/>
            </w:tcMar>
          </w:tcPr>
          <w:p w14:paraId="38983B80"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432F6A4D"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Definition: Milestone</w:t>
            </w:r>
          </w:p>
        </w:tc>
        <w:tc>
          <w:tcPr>
            <w:tcW w:w="4677" w:type="dxa"/>
          </w:tcPr>
          <w:p w14:paraId="0D0DECC9" w14:textId="77777777"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requested the definition of Milestone and clarity on process how the Milestones will be agreed between the Client and SCDP. </w:t>
            </w:r>
          </w:p>
          <w:p w14:paraId="6E2D0504" w14:textId="77777777" w:rsidR="00DA23D2" w:rsidRPr="00CA75A2" w:rsidRDefault="00DA23D2" w:rsidP="00CA75A2">
            <w:pPr>
              <w:widowControl w:val="0"/>
              <w:spacing w:before="60" w:after="60"/>
              <w:rPr>
                <w:rFonts w:eastAsia="Arial" w:cs="Arial"/>
                <w:sz w:val="20"/>
                <w:szCs w:val="20"/>
                <w:highlight w:val="yellow"/>
                <w:lang w:eastAsia="en-GB"/>
              </w:rPr>
            </w:pPr>
            <w:r w:rsidRPr="00CA75A2">
              <w:rPr>
                <w:rFonts w:eastAsia="Arial" w:cs="Arial"/>
                <w:sz w:val="20"/>
                <w:szCs w:val="20"/>
                <w:lang w:eastAsia="en-GB"/>
              </w:rPr>
              <w:t>Also, the query was raised how the SCDP will be reimbursed and compensated where a milestone is delayed or missed through the omission, delay or fault of others.</w:t>
            </w:r>
          </w:p>
        </w:tc>
      </w:tr>
      <w:tr w:rsidR="00DA23D2" w:rsidRPr="00DA23D2" w14:paraId="35FD5998" w14:textId="77777777" w:rsidTr="00CA75A2">
        <w:trPr>
          <w:trHeight w:val="425"/>
          <w:jc w:val="center"/>
        </w:trPr>
        <w:tc>
          <w:tcPr>
            <w:tcW w:w="1107" w:type="dxa"/>
            <w:tcMar>
              <w:top w:w="57" w:type="dxa"/>
              <w:left w:w="57" w:type="dxa"/>
              <w:bottom w:w="57" w:type="dxa"/>
              <w:right w:w="57" w:type="dxa"/>
            </w:tcMar>
          </w:tcPr>
          <w:p w14:paraId="6A91DAE6"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7887A4BC"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How will the funding work for the SFI (page 6)</w:t>
            </w:r>
          </w:p>
        </w:tc>
        <w:tc>
          <w:tcPr>
            <w:tcW w:w="4677" w:type="dxa"/>
          </w:tcPr>
          <w:p w14:paraId="06C7B1D1" w14:textId="77777777" w:rsidR="00DA23D2" w:rsidRPr="00CA75A2" w:rsidRDefault="00DA23D2" w:rsidP="00CA75A2">
            <w:pPr>
              <w:widowControl w:val="0"/>
              <w:spacing w:before="60" w:after="60"/>
              <w:rPr>
                <w:rFonts w:eastAsia="Arial" w:cs="Arial"/>
                <w:sz w:val="20"/>
                <w:szCs w:val="20"/>
                <w:highlight w:val="yellow"/>
                <w:lang w:eastAsia="en-GB"/>
              </w:rPr>
            </w:pPr>
            <w:r w:rsidRPr="00CA75A2">
              <w:rPr>
                <w:rFonts w:eastAsia="Arial" w:cs="Arial"/>
                <w:sz w:val="20"/>
                <w:szCs w:val="20"/>
                <w:lang w:eastAsia="en-GB"/>
              </w:rPr>
              <w:t xml:space="preserve">It was proposed by the market to consider a 6 month rather than 12-month performance period to reduce negative impact on the SCDP, and/or increase the proportion of the SFI that is paid against milestones. Also, if a 12-month retention period is used, the market requested clarity on method how the SCDP’s SFI payment at the end of this will be indexed. </w:t>
            </w:r>
          </w:p>
        </w:tc>
      </w:tr>
      <w:tr w:rsidR="00DA23D2" w:rsidRPr="00DA23D2" w14:paraId="30BFF961" w14:textId="77777777" w:rsidTr="00CA75A2">
        <w:trPr>
          <w:trHeight w:val="425"/>
          <w:jc w:val="center"/>
        </w:trPr>
        <w:tc>
          <w:tcPr>
            <w:tcW w:w="1107" w:type="dxa"/>
            <w:tcMar>
              <w:top w:w="57" w:type="dxa"/>
              <w:left w:w="57" w:type="dxa"/>
              <w:bottom w:w="57" w:type="dxa"/>
              <w:right w:w="57" w:type="dxa"/>
            </w:tcMar>
          </w:tcPr>
          <w:p w14:paraId="5362FEAC"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17D10040" w14:textId="77777777" w:rsidR="00DA23D2" w:rsidRPr="00CA75A2" w:rsidRDefault="00DA23D2" w:rsidP="00CA75A2">
            <w:pPr>
              <w:widowControl w:val="0"/>
              <w:spacing w:before="60" w:after="60"/>
              <w:rPr>
                <w:rFonts w:eastAsia="Arial" w:cs="Arial"/>
                <w:sz w:val="20"/>
                <w:szCs w:val="20"/>
                <w:lang w:val="en-US" w:eastAsia="en-GB"/>
              </w:rPr>
            </w:pPr>
            <w:r w:rsidRPr="00CA75A2">
              <w:rPr>
                <w:rFonts w:eastAsia="Arial" w:cs="Arial"/>
                <w:sz w:val="20"/>
                <w:szCs w:val="20"/>
                <w:lang w:val="en-US" w:eastAsia="en-GB"/>
              </w:rPr>
              <w:t>Which costs is the SFI deduction applicable to?</w:t>
            </w:r>
          </w:p>
          <w:p w14:paraId="48036314"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(page 6)</w:t>
            </w:r>
          </w:p>
        </w:tc>
        <w:tc>
          <w:tcPr>
            <w:tcW w:w="4677" w:type="dxa"/>
          </w:tcPr>
          <w:p w14:paraId="44FCC936" w14:textId="77777777" w:rsidR="00DA23D2" w:rsidRPr="00CA75A2" w:rsidRDefault="00DA23D2" w:rsidP="00CA75A2">
            <w:pPr>
              <w:widowControl w:val="0"/>
              <w:spacing w:before="60" w:after="60"/>
              <w:rPr>
                <w:rFonts w:eastAsia="Arial" w:cs="Arial"/>
                <w:sz w:val="20"/>
                <w:szCs w:val="20"/>
                <w:lang w:val="en-US" w:eastAsia="en-GB"/>
              </w:rPr>
            </w:pPr>
            <w:r w:rsidRPr="00CA75A2">
              <w:rPr>
                <w:rFonts w:eastAsia="Arial" w:cs="Arial"/>
                <w:sz w:val="20"/>
                <w:szCs w:val="20"/>
                <w:lang w:val="en-US" w:eastAsia="en-GB"/>
              </w:rPr>
              <w:t>The market requested to clarify whether the SFI will apply to the Task Zero Services and the Initial Task Order and to define tier 1 subcontractors, management fee referenced in relation to tier 1 subcontractor costs and tier 2 subcontractors.</w:t>
            </w:r>
          </w:p>
        </w:tc>
      </w:tr>
      <w:tr w:rsidR="00DA23D2" w:rsidRPr="00DA23D2" w14:paraId="382B3CAC" w14:textId="77777777" w:rsidTr="00CA75A2">
        <w:trPr>
          <w:trHeight w:val="425"/>
          <w:jc w:val="center"/>
        </w:trPr>
        <w:tc>
          <w:tcPr>
            <w:tcW w:w="1107" w:type="dxa"/>
            <w:tcMar>
              <w:top w:w="57" w:type="dxa"/>
              <w:left w:w="57" w:type="dxa"/>
              <w:bottom w:w="57" w:type="dxa"/>
              <w:right w:w="57" w:type="dxa"/>
            </w:tcMar>
          </w:tcPr>
          <w:p w14:paraId="4FCED322"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4C869179"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color w:val="000000"/>
                <w:sz w:val="20"/>
                <w:szCs w:val="20"/>
                <w:lang w:eastAsia="en-GB"/>
              </w:rPr>
              <w:t xml:space="preserve">Pricing mechanisms will be used to support the assessment of subcontractor rates. </w:t>
            </w:r>
          </w:p>
        </w:tc>
        <w:tc>
          <w:tcPr>
            <w:tcW w:w="4677" w:type="dxa"/>
          </w:tcPr>
          <w:p w14:paraId="2CD6669C" w14:textId="02CA8727" w:rsidR="00DA23D2" w:rsidRPr="00CA75A2" w:rsidRDefault="00DA23D2" w:rsidP="00CA75A2">
            <w:pPr>
              <w:widowControl w:val="0"/>
              <w:spacing w:before="60" w:after="60"/>
              <w:rPr>
                <w:rFonts w:eastAsia="Arial" w:cs="Arial"/>
                <w:sz w:val="20"/>
                <w:szCs w:val="20"/>
                <w:highlight w:val="yellow"/>
                <w:lang w:val="en-US" w:eastAsia="en-GB"/>
              </w:rPr>
            </w:pPr>
            <w:r w:rsidRPr="00CA75A2">
              <w:rPr>
                <w:rFonts w:eastAsia="Arial" w:cs="Arial"/>
                <w:sz w:val="20"/>
                <w:szCs w:val="20"/>
                <w:lang w:val="en-US" w:eastAsia="en-GB"/>
              </w:rPr>
              <w:t>The market requested to set out what is included in overhead costs as this will determine whether or not overheads should be recoverable against subcontractor costs.</w:t>
            </w:r>
          </w:p>
        </w:tc>
      </w:tr>
      <w:tr w:rsidR="00DA23D2" w:rsidRPr="00DA23D2" w14:paraId="68752A4A" w14:textId="77777777" w:rsidTr="00CA75A2">
        <w:trPr>
          <w:trHeight w:val="425"/>
          <w:jc w:val="center"/>
        </w:trPr>
        <w:tc>
          <w:tcPr>
            <w:tcW w:w="1107" w:type="dxa"/>
            <w:tcMar>
              <w:top w:w="57" w:type="dxa"/>
              <w:left w:w="57" w:type="dxa"/>
              <w:bottom w:w="57" w:type="dxa"/>
              <w:right w:w="57" w:type="dxa"/>
            </w:tcMar>
          </w:tcPr>
          <w:p w14:paraId="6DC36FB1"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7DA0D800"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The Performance KPI / Examples of incentivised TLIs which could be applied (page 8)</w:t>
            </w:r>
          </w:p>
        </w:tc>
        <w:tc>
          <w:tcPr>
            <w:tcW w:w="4677" w:type="dxa"/>
          </w:tcPr>
          <w:p w14:paraId="1E8B7E33" w14:textId="77777777"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The market commented that the outcome tolerances set in order to achieve a Green RAG Score/full Points Score and hence no SFI deduction appear to be scaled to a low-risk low uncertainty SoR, rather than first of a kind subsurface site characterisation requirement with significant uncertainty.</w:t>
            </w:r>
          </w:p>
        </w:tc>
      </w:tr>
      <w:tr w:rsidR="00DA23D2" w:rsidRPr="00DA23D2" w14:paraId="46C02FE0" w14:textId="77777777" w:rsidTr="00CA75A2">
        <w:trPr>
          <w:trHeight w:val="425"/>
          <w:jc w:val="center"/>
        </w:trPr>
        <w:tc>
          <w:tcPr>
            <w:tcW w:w="1107" w:type="dxa"/>
            <w:tcMar>
              <w:top w:w="57" w:type="dxa"/>
              <w:left w:w="57" w:type="dxa"/>
              <w:bottom w:w="57" w:type="dxa"/>
              <w:right w:w="57" w:type="dxa"/>
            </w:tcMar>
          </w:tcPr>
          <w:p w14:paraId="71E448D3"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5DCAAEBA"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Example TLI: Quality of output, Schedule Variance, Accuracy of Forecasting, H&amp;S Lost Time Accident (LTA), H&amp;S Near Misses (NM), Cyber Security Data Breaches (DB)</w:t>
            </w:r>
          </w:p>
        </w:tc>
        <w:tc>
          <w:tcPr>
            <w:tcW w:w="4677" w:type="dxa"/>
          </w:tcPr>
          <w:p w14:paraId="439DFAF3" w14:textId="77777777"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It was recommended by the market to consider different TLIs for Task Zero Services and different for other Task Orders as e.g. some TLIs (e.g. Quality of output) do not seem applicable to Task Zero Services, others (Cyber Security) seem more appropriate to Task Zero Services.</w:t>
            </w:r>
          </w:p>
          <w:p w14:paraId="0948BE7B" w14:textId="77777777"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also requested clarification whether if there were no H&amp;S near misses and cyber security data breaches during the period, none will be reported and no corrective actions will be needed, that would mean that this will automatically fall in the green category’. </w:t>
            </w:r>
          </w:p>
        </w:tc>
      </w:tr>
      <w:tr w:rsidR="00DA23D2" w:rsidRPr="00DA23D2" w14:paraId="43DE9429" w14:textId="77777777" w:rsidTr="00CA75A2">
        <w:trPr>
          <w:trHeight w:val="425"/>
          <w:jc w:val="center"/>
        </w:trPr>
        <w:tc>
          <w:tcPr>
            <w:tcW w:w="1107" w:type="dxa"/>
            <w:tcMar>
              <w:top w:w="57" w:type="dxa"/>
              <w:left w:w="57" w:type="dxa"/>
              <w:bottom w:w="57" w:type="dxa"/>
              <w:right w:w="57" w:type="dxa"/>
            </w:tcMar>
          </w:tcPr>
          <w:p w14:paraId="55F9913F"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6245F4CD"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Example TLI: Quality of output (page 8)</w:t>
            </w:r>
          </w:p>
        </w:tc>
        <w:tc>
          <w:tcPr>
            <w:tcW w:w="4677" w:type="dxa"/>
          </w:tcPr>
          <w:p w14:paraId="30CD514A" w14:textId="77777777"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suggested that minor typographic and grammatical errors should not constitute a ‘partial re-write’ that triggers a reduction in TLI points score. </w:t>
            </w:r>
          </w:p>
          <w:p w14:paraId="50C22A53" w14:textId="77777777" w:rsidR="00DA23D2" w:rsidRPr="00CA75A2" w:rsidRDefault="00DA23D2"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It was also requested to define what is considered "minor errors" and "major errors", as there a risk that this may be subjective.</w:t>
            </w:r>
          </w:p>
        </w:tc>
      </w:tr>
      <w:tr w:rsidR="00DA23D2" w:rsidRPr="00DA23D2" w14:paraId="34937E49" w14:textId="77777777" w:rsidTr="00CA75A2">
        <w:trPr>
          <w:trHeight w:val="425"/>
          <w:jc w:val="center"/>
        </w:trPr>
        <w:tc>
          <w:tcPr>
            <w:tcW w:w="1107" w:type="dxa"/>
            <w:tcMar>
              <w:top w:w="57" w:type="dxa"/>
              <w:left w:w="57" w:type="dxa"/>
              <w:bottom w:w="57" w:type="dxa"/>
              <w:right w:w="57" w:type="dxa"/>
            </w:tcMar>
          </w:tcPr>
          <w:p w14:paraId="4CE6B2D9"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49681363"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Outcome: Works requiring complete rework Associated RAG score: Red</w:t>
            </w:r>
          </w:p>
        </w:tc>
        <w:tc>
          <w:tcPr>
            <w:tcW w:w="4677" w:type="dxa"/>
          </w:tcPr>
          <w:p w14:paraId="38BC8DAA" w14:textId="77777777" w:rsidR="00DA23D2" w:rsidRPr="00CA75A2" w:rsidRDefault="00DA23D2"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The market believed that there should be no deduction where the SCDP has used ‘reasonable care’ and undertaken work in accordance with a specification/design agreed with NWS, if the work does not provide the anticipated information and has to be re-done.</w:t>
            </w:r>
          </w:p>
        </w:tc>
      </w:tr>
      <w:tr w:rsidR="00DA23D2" w:rsidRPr="00DA23D2" w14:paraId="2FFAF722" w14:textId="77777777" w:rsidTr="00CA75A2">
        <w:trPr>
          <w:trHeight w:val="425"/>
          <w:jc w:val="center"/>
        </w:trPr>
        <w:tc>
          <w:tcPr>
            <w:tcW w:w="1107" w:type="dxa"/>
            <w:tcMar>
              <w:top w:w="57" w:type="dxa"/>
              <w:left w:w="57" w:type="dxa"/>
              <w:bottom w:w="57" w:type="dxa"/>
              <w:right w:w="57" w:type="dxa"/>
            </w:tcMar>
          </w:tcPr>
          <w:p w14:paraId="196093F5"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2918E4E3"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Example TLI: Schedule Variance (page 8)</w:t>
            </w:r>
          </w:p>
        </w:tc>
        <w:tc>
          <w:tcPr>
            <w:tcW w:w="4677" w:type="dxa"/>
          </w:tcPr>
          <w:p w14:paraId="3B11ABDC" w14:textId="77777777" w:rsidR="00DA23D2" w:rsidRPr="00CA75A2" w:rsidRDefault="00DA23D2"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The market requested clarification whether a delay to the completion of a Task Order will trigger deductions for the same delay against both KPI and Milestone Performance measures.</w:t>
            </w:r>
          </w:p>
        </w:tc>
      </w:tr>
      <w:tr w:rsidR="00DA23D2" w:rsidRPr="00DA23D2" w14:paraId="1625C86C" w14:textId="77777777" w:rsidTr="00CA75A2">
        <w:trPr>
          <w:trHeight w:val="425"/>
          <w:jc w:val="center"/>
        </w:trPr>
        <w:tc>
          <w:tcPr>
            <w:tcW w:w="1107" w:type="dxa"/>
            <w:tcMar>
              <w:top w:w="57" w:type="dxa"/>
              <w:left w:w="57" w:type="dxa"/>
              <w:bottom w:w="57" w:type="dxa"/>
              <w:right w:w="57" w:type="dxa"/>
            </w:tcMar>
          </w:tcPr>
          <w:p w14:paraId="49E78F85"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5379B5AF"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Outcome: Up to and equal to 2 weeks behind schedule</w:t>
            </w:r>
          </w:p>
        </w:tc>
        <w:tc>
          <w:tcPr>
            <w:tcW w:w="4677" w:type="dxa"/>
          </w:tcPr>
          <w:p w14:paraId="7F3BE8A4" w14:textId="77777777"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believed that given unusual nature of works the lack of any tolerance of minor delays around schedule dates does not seem appropriate. </w:t>
            </w:r>
          </w:p>
          <w:p w14:paraId="42FA4494" w14:textId="77777777" w:rsidR="00DA23D2" w:rsidRPr="00CA75A2" w:rsidRDefault="00DA23D2"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In addition, it was highlighted that threshold of 2 weeks behind schedule has wildly different implications for a 2-month activity and 2-year activity.</w:t>
            </w:r>
          </w:p>
        </w:tc>
      </w:tr>
      <w:tr w:rsidR="00DA23D2" w:rsidRPr="00DA23D2" w14:paraId="19EDB157" w14:textId="77777777" w:rsidTr="00CA75A2">
        <w:trPr>
          <w:trHeight w:val="425"/>
          <w:jc w:val="center"/>
        </w:trPr>
        <w:tc>
          <w:tcPr>
            <w:tcW w:w="1107" w:type="dxa"/>
            <w:tcMar>
              <w:top w:w="57" w:type="dxa"/>
              <w:left w:w="57" w:type="dxa"/>
              <w:bottom w:w="57" w:type="dxa"/>
              <w:right w:w="57" w:type="dxa"/>
            </w:tcMar>
          </w:tcPr>
          <w:p w14:paraId="428684DE"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3DA403E0"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Example TLI: Accuracy of Forecasting</w:t>
            </w:r>
          </w:p>
        </w:tc>
        <w:tc>
          <w:tcPr>
            <w:tcW w:w="4677" w:type="dxa"/>
          </w:tcPr>
          <w:p w14:paraId="5835904D" w14:textId="77777777" w:rsidR="00DA23D2" w:rsidRPr="00CA75A2" w:rsidRDefault="00DA23D2"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The market believed that given uncertainties in geological, environmental, sea and weather conditions it seems inappropriate to penalise budgets that are within 5%. It was also highlighted that there will likely be a discrepancy between the forecasted value of the services vs the budget (based on the Task Order price + implemented CEs) and that the description of this TLI should be reviewed and revised.</w:t>
            </w:r>
          </w:p>
        </w:tc>
      </w:tr>
      <w:tr w:rsidR="00DA23D2" w:rsidRPr="00DA23D2" w14:paraId="76010855" w14:textId="77777777" w:rsidTr="00CA75A2">
        <w:trPr>
          <w:trHeight w:val="425"/>
          <w:jc w:val="center"/>
        </w:trPr>
        <w:tc>
          <w:tcPr>
            <w:tcW w:w="1107" w:type="dxa"/>
            <w:tcMar>
              <w:top w:w="57" w:type="dxa"/>
              <w:left w:w="57" w:type="dxa"/>
              <w:bottom w:w="57" w:type="dxa"/>
              <w:right w:w="57" w:type="dxa"/>
            </w:tcMar>
          </w:tcPr>
          <w:p w14:paraId="4EB92880"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3053A4CC"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Description: Budget is based on task order level, actual against forecast, taking into account agreed CE's.</w:t>
            </w:r>
          </w:p>
        </w:tc>
        <w:tc>
          <w:tcPr>
            <w:tcW w:w="4677" w:type="dxa"/>
          </w:tcPr>
          <w:p w14:paraId="13E5E7F9" w14:textId="77777777" w:rsidR="00DA23D2" w:rsidRPr="00CA75A2" w:rsidRDefault="00DA23D2"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The market requested to clarify whether Accuracy of Forecasting will be measured for each Task on a monthly basis, such that if the cost in one month is lower, and the next month it is higher than the monthly budget, but the total is still within the total budget for the task, there will still be a points loss for the month that was over-budget.</w:t>
            </w:r>
          </w:p>
        </w:tc>
      </w:tr>
      <w:tr w:rsidR="00DA23D2" w:rsidRPr="00DA23D2" w14:paraId="0D52D952" w14:textId="77777777" w:rsidTr="00CA75A2">
        <w:trPr>
          <w:trHeight w:val="425"/>
          <w:jc w:val="center"/>
        </w:trPr>
        <w:tc>
          <w:tcPr>
            <w:tcW w:w="1107" w:type="dxa"/>
            <w:tcMar>
              <w:top w:w="57" w:type="dxa"/>
              <w:left w:w="57" w:type="dxa"/>
              <w:bottom w:w="57" w:type="dxa"/>
              <w:right w:w="57" w:type="dxa"/>
            </w:tcMar>
          </w:tcPr>
          <w:p w14:paraId="20A98CA8"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2385D28A" w14:textId="77777777" w:rsidR="00DA23D2" w:rsidRPr="00CA75A2" w:rsidRDefault="00DA23D2" w:rsidP="00CA75A2">
            <w:pPr>
              <w:widowControl w:val="0"/>
              <w:spacing w:before="60" w:after="60"/>
              <w:rPr>
                <w:rFonts w:eastAsia="Arial" w:cs="Arial"/>
                <w:sz w:val="20"/>
                <w:szCs w:val="20"/>
                <w:lang w:val="en-US" w:eastAsia="en-GB"/>
              </w:rPr>
            </w:pPr>
            <w:r w:rsidRPr="00CA75A2">
              <w:rPr>
                <w:rFonts w:eastAsia="Arial" w:cs="Arial"/>
                <w:sz w:val="20"/>
                <w:szCs w:val="20"/>
                <w:lang w:val="en-US" w:eastAsia="en-GB"/>
              </w:rPr>
              <w:t>Example TLI: H&amp;S Lost Time</w:t>
            </w:r>
          </w:p>
          <w:p w14:paraId="5FEAB2E0"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Accident, H&amp;S Near Misses, Cyber Security Data Breaches (page 8)</w:t>
            </w:r>
          </w:p>
        </w:tc>
        <w:tc>
          <w:tcPr>
            <w:tcW w:w="4677" w:type="dxa"/>
          </w:tcPr>
          <w:p w14:paraId="43D995C1" w14:textId="4A5157C8"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requested to provide a definition of Loss Time Accident. Clarifications were also raised whether H&amp;S and Cyber Security performance will be measured on company level or Task Order level. </w:t>
            </w:r>
          </w:p>
        </w:tc>
      </w:tr>
      <w:tr w:rsidR="00DA23D2" w:rsidRPr="00DA23D2" w14:paraId="5E15EABE" w14:textId="77777777" w:rsidTr="00CA75A2">
        <w:trPr>
          <w:trHeight w:val="425"/>
          <w:jc w:val="center"/>
        </w:trPr>
        <w:tc>
          <w:tcPr>
            <w:tcW w:w="1107" w:type="dxa"/>
            <w:tcMar>
              <w:top w:w="57" w:type="dxa"/>
              <w:left w:w="57" w:type="dxa"/>
              <w:bottom w:w="57" w:type="dxa"/>
              <w:right w:w="57" w:type="dxa"/>
            </w:tcMar>
          </w:tcPr>
          <w:p w14:paraId="3E67C7DA"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2E6ABE5A"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Example TLI: H&amp;S Near Misses (page 8)</w:t>
            </w:r>
          </w:p>
        </w:tc>
        <w:tc>
          <w:tcPr>
            <w:tcW w:w="4677" w:type="dxa"/>
          </w:tcPr>
          <w:p w14:paraId="50155976" w14:textId="77777777" w:rsidR="00DA23D2" w:rsidRPr="00CA75A2" w:rsidRDefault="00DA23D2"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The market suggested that outcome should be defined as ‘No NM data submitted for NMs that the SCDP should reasonable be or is aware of and/or…’ otherwise the SCDP is penalised for periods of time in which its safety processes have led to no near misses.</w:t>
            </w:r>
          </w:p>
        </w:tc>
      </w:tr>
      <w:tr w:rsidR="00DA23D2" w:rsidRPr="00DA23D2" w14:paraId="46D484AC" w14:textId="77777777" w:rsidTr="00CA75A2">
        <w:trPr>
          <w:trHeight w:val="762"/>
          <w:jc w:val="center"/>
        </w:trPr>
        <w:tc>
          <w:tcPr>
            <w:tcW w:w="1107" w:type="dxa"/>
            <w:tcMar>
              <w:top w:w="57" w:type="dxa"/>
              <w:left w:w="57" w:type="dxa"/>
              <w:bottom w:w="57" w:type="dxa"/>
              <w:right w:w="57" w:type="dxa"/>
            </w:tcMar>
          </w:tcPr>
          <w:p w14:paraId="09DB63ED"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409539F6"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Example TLI: Cyber Security Data Breaches (page 8)</w:t>
            </w:r>
          </w:p>
        </w:tc>
        <w:tc>
          <w:tcPr>
            <w:tcW w:w="4677" w:type="dxa"/>
          </w:tcPr>
          <w:p w14:paraId="37DD7B6B" w14:textId="77777777"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The market suggested that the outcome should be defined as ‘No DB data submitted for DBs that the SCDP should reasonable be or is aware of and/or…’ otherwise the SCDP is penalised for having strong Cyber Security that prevents attempted breaches.</w:t>
            </w:r>
          </w:p>
        </w:tc>
      </w:tr>
      <w:tr w:rsidR="00DA23D2" w:rsidRPr="00DA23D2" w14:paraId="606C8824" w14:textId="77777777" w:rsidTr="00CA75A2">
        <w:trPr>
          <w:trHeight w:val="425"/>
          <w:jc w:val="center"/>
        </w:trPr>
        <w:tc>
          <w:tcPr>
            <w:tcW w:w="1107" w:type="dxa"/>
            <w:tcMar>
              <w:top w:w="57" w:type="dxa"/>
              <w:left w:w="57" w:type="dxa"/>
              <w:bottom w:w="57" w:type="dxa"/>
              <w:right w:w="57" w:type="dxa"/>
            </w:tcMar>
          </w:tcPr>
          <w:p w14:paraId="61F29B4A"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333C59CC"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Example - End of Year Disbursement Thresholds (page 9)</w:t>
            </w:r>
          </w:p>
        </w:tc>
        <w:tc>
          <w:tcPr>
            <w:tcW w:w="4677" w:type="dxa"/>
          </w:tcPr>
          <w:p w14:paraId="2D4DC0E0" w14:textId="77777777"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 xml:space="preserve">The market believed that the KPI performance outcomes and scoring approach do not appear to reflect the uncertainty and risk inherent in the SCDP requirement. As set out the KPI regime appears designed to avoid payment of the KPI element of the SFI. </w:t>
            </w:r>
          </w:p>
          <w:p w14:paraId="155B08C7" w14:textId="77777777" w:rsidR="00DA23D2" w:rsidRPr="00CA75A2" w:rsidRDefault="00DA23D2" w:rsidP="00CA75A2">
            <w:pPr>
              <w:widowControl w:val="0"/>
              <w:spacing w:before="60" w:after="60"/>
              <w:rPr>
                <w:rFonts w:eastAsia="Arial" w:cs="Arial"/>
                <w:sz w:val="20"/>
                <w:szCs w:val="20"/>
                <w:u w:val="single"/>
                <w:lang w:eastAsia="en-GB"/>
              </w:rPr>
            </w:pPr>
            <w:r w:rsidRPr="00CA75A2">
              <w:rPr>
                <w:rFonts w:eastAsia="Arial" w:cs="Arial"/>
                <w:sz w:val="20"/>
                <w:szCs w:val="20"/>
                <w:lang w:eastAsia="en-GB"/>
              </w:rPr>
              <w:t xml:space="preserve">It was also mentioned that the score range of only 110 – 130 appears narrow given the SFI payout range from 0 to 100%. </w:t>
            </w:r>
          </w:p>
        </w:tc>
      </w:tr>
      <w:tr w:rsidR="00DA23D2" w:rsidRPr="00DA23D2" w14:paraId="6FDC3F73" w14:textId="77777777" w:rsidTr="00CA75A2">
        <w:trPr>
          <w:trHeight w:val="425"/>
          <w:jc w:val="center"/>
        </w:trPr>
        <w:tc>
          <w:tcPr>
            <w:tcW w:w="1107" w:type="dxa"/>
            <w:tcMar>
              <w:top w:w="57" w:type="dxa"/>
              <w:left w:w="57" w:type="dxa"/>
              <w:bottom w:w="57" w:type="dxa"/>
              <w:right w:w="57" w:type="dxa"/>
            </w:tcMar>
          </w:tcPr>
          <w:p w14:paraId="3EAFC2B7"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77CDC70F" w14:textId="77777777" w:rsidR="00DA23D2" w:rsidRPr="00CA75A2" w:rsidRDefault="00DA23D2" w:rsidP="00CA75A2">
            <w:pPr>
              <w:widowControl w:val="0"/>
              <w:spacing w:before="60" w:after="60"/>
              <w:rPr>
                <w:rFonts w:eastAsia="Arial" w:cs="Arial"/>
                <w:sz w:val="20"/>
                <w:szCs w:val="20"/>
                <w:lang w:val="en-US" w:eastAsia="en-GB"/>
              </w:rPr>
            </w:pPr>
            <w:r w:rsidRPr="00CA75A2">
              <w:rPr>
                <w:rFonts w:eastAsia="Arial" w:cs="Arial"/>
                <w:sz w:val="20"/>
                <w:szCs w:val="20"/>
                <w:lang w:val="en-US" w:eastAsia="en-GB"/>
              </w:rPr>
              <w:t>Which rules will apply to the Performance KPI calculation? /</w:t>
            </w:r>
          </w:p>
          <w:p w14:paraId="2C5A8FD3"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Rule/Criteria table (page 9)</w:t>
            </w:r>
          </w:p>
        </w:tc>
        <w:tc>
          <w:tcPr>
            <w:tcW w:w="4677" w:type="dxa"/>
          </w:tcPr>
          <w:p w14:paraId="294C516B" w14:textId="77777777" w:rsidR="00DA23D2" w:rsidRPr="00CA75A2" w:rsidRDefault="00DA23D2" w:rsidP="00CA75A2">
            <w:pPr>
              <w:widowControl w:val="0"/>
              <w:spacing w:before="60" w:after="60"/>
              <w:rPr>
                <w:rFonts w:eastAsia="Arial" w:cs="Arial"/>
                <w:sz w:val="20"/>
                <w:szCs w:val="20"/>
                <w:u w:val="single"/>
                <w:lang w:val="en-US" w:eastAsia="en-GB"/>
              </w:rPr>
            </w:pPr>
            <w:r w:rsidRPr="00CA75A2">
              <w:rPr>
                <w:rFonts w:eastAsia="Arial" w:cs="Arial"/>
                <w:sz w:val="20"/>
                <w:szCs w:val="20"/>
                <w:lang w:val="en-US" w:eastAsia="en-GB"/>
              </w:rPr>
              <w:t>The market believed that these rules seem disproportionate given the risks and uncertainties associated with the programme and are overly complex to administer. It was suggested that this is simplified to requiring a rectification plan where more than a certain % of scores are red, or the same category is repeatedly failed.</w:t>
            </w:r>
          </w:p>
        </w:tc>
      </w:tr>
      <w:tr w:rsidR="00DA23D2" w:rsidRPr="00DA23D2" w14:paraId="2D736BE5" w14:textId="77777777" w:rsidTr="00CA75A2">
        <w:trPr>
          <w:trHeight w:val="425"/>
          <w:jc w:val="center"/>
        </w:trPr>
        <w:tc>
          <w:tcPr>
            <w:tcW w:w="1107" w:type="dxa"/>
            <w:tcMar>
              <w:top w:w="57" w:type="dxa"/>
              <w:left w:w="57" w:type="dxa"/>
              <w:bottom w:w="57" w:type="dxa"/>
              <w:right w:w="57" w:type="dxa"/>
            </w:tcMar>
          </w:tcPr>
          <w:p w14:paraId="6F7B06DA"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5DC2BE92"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Social Value KPI (page 9)</w:t>
            </w:r>
          </w:p>
        </w:tc>
        <w:tc>
          <w:tcPr>
            <w:tcW w:w="4677" w:type="dxa"/>
          </w:tcPr>
          <w:p w14:paraId="48F656F9" w14:textId="5B9D37CA"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More clarity was also requested on how it will be determined whether an updated Social Value plan delivers an equivalent or greater Social Value than the previous plan, and question if this will always be possible.</w:t>
            </w:r>
          </w:p>
        </w:tc>
      </w:tr>
      <w:tr w:rsidR="00DA23D2" w:rsidRPr="00DA23D2" w14:paraId="382B6A75" w14:textId="77777777" w:rsidTr="00CA75A2">
        <w:trPr>
          <w:trHeight w:val="425"/>
          <w:jc w:val="center"/>
        </w:trPr>
        <w:tc>
          <w:tcPr>
            <w:tcW w:w="1107" w:type="dxa"/>
            <w:tcMar>
              <w:top w:w="57" w:type="dxa"/>
              <w:left w:w="57" w:type="dxa"/>
              <w:bottom w:w="57" w:type="dxa"/>
              <w:right w:w="57" w:type="dxa"/>
            </w:tcMar>
          </w:tcPr>
          <w:p w14:paraId="3FFEF713"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3359674C"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SCDP will be contractually obliged to deliver / comply with the commitments that it makes in relation to social value during the procurement process at its own cost, and there shall be no reimbursement for social value delivery costs other than the SFI reimbursement (where due).</w:t>
            </w:r>
          </w:p>
        </w:tc>
        <w:tc>
          <w:tcPr>
            <w:tcW w:w="4677" w:type="dxa"/>
          </w:tcPr>
          <w:p w14:paraId="07DCAED2" w14:textId="77777777" w:rsidR="00DA23D2" w:rsidRPr="00CA75A2" w:rsidRDefault="00DA23D2" w:rsidP="00CA75A2">
            <w:pPr>
              <w:widowControl w:val="0"/>
              <w:spacing w:before="60" w:after="60"/>
              <w:rPr>
                <w:rFonts w:eastAsia="Arial" w:cs="Arial"/>
                <w:sz w:val="20"/>
                <w:szCs w:val="20"/>
                <w:u w:val="single"/>
                <w:lang w:val="en-US" w:eastAsia="en-GB"/>
              </w:rPr>
            </w:pPr>
            <w:r w:rsidRPr="00CA75A2">
              <w:rPr>
                <w:rFonts w:eastAsia="Arial" w:cs="Arial"/>
                <w:sz w:val="20"/>
                <w:szCs w:val="20"/>
                <w:lang w:val="en-US" w:eastAsia="en-GB"/>
              </w:rPr>
              <w:t>The market requested more clarity on how the SCDP will recover social value delivery costs. A proposal for including an allowance for social value delivery (as Defined Costs), subject to a cap, in the Task Zero Services, and measuring the achievement of objectives that are proportionate to the amount of social value costs invested.</w:t>
            </w:r>
          </w:p>
        </w:tc>
      </w:tr>
      <w:tr w:rsidR="00DA23D2" w:rsidRPr="00DA23D2" w14:paraId="2868C0CE" w14:textId="77777777" w:rsidTr="00CA75A2">
        <w:trPr>
          <w:trHeight w:val="425"/>
          <w:jc w:val="center"/>
        </w:trPr>
        <w:tc>
          <w:tcPr>
            <w:tcW w:w="1107" w:type="dxa"/>
            <w:tcMar>
              <w:top w:w="57" w:type="dxa"/>
              <w:left w:w="57" w:type="dxa"/>
              <w:bottom w:w="57" w:type="dxa"/>
              <w:right w:w="57" w:type="dxa"/>
            </w:tcMar>
          </w:tcPr>
          <w:p w14:paraId="749FDEDF"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3435FF15" w14:textId="77777777" w:rsidR="00DA23D2" w:rsidRPr="00CA75A2" w:rsidRDefault="00DA23D2" w:rsidP="00CA75A2">
            <w:pPr>
              <w:widowControl w:val="0"/>
              <w:spacing w:before="60" w:after="60"/>
              <w:rPr>
                <w:rFonts w:eastAsia="Arial" w:cs="Arial"/>
                <w:sz w:val="20"/>
                <w:szCs w:val="20"/>
                <w:lang w:val="en-US" w:eastAsia="en-GB"/>
              </w:rPr>
            </w:pPr>
            <w:r w:rsidRPr="00CA75A2">
              <w:rPr>
                <w:rFonts w:eastAsia="Arial" w:cs="Arial"/>
                <w:sz w:val="20"/>
                <w:szCs w:val="20"/>
                <w:lang w:val="en-US" w:eastAsia="en-GB"/>
              </w:rPr>
              <w:t>How will Social Value KPI scores be assigned?</w:t>
            </w:r>
          </w:p>
          <w:p w14:paraId="16879C07"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(page 10)</w:t>
            </w:r>
          </w:p>
        </w:tc>
        <w:tc>
          <w:tcPr>
            <w:tcW w:w="4677" w:type="dxa"/>
          </w:tcPr>
          <w:p w14:paraId="6B797263" w14:textId="77777777" w:rsidR="00DA23D2" w:rsidRPr="00CA75A2" w:rsidRDefault="00DA23D2" w:rsidP="00CA75A2">
            <w:pPr>
              <w:widowControl w:val="0"/>
              <w:spacing w:before="60" w:after="60"/>
              <w:rPr>
                <w:rFonts w:eastAsia="Arial" w:cs="Arial"/>
                <w:sz w:val="20"/>
                <w:szCs w:val="20"/>
                <w:lang w:val="en-US" w:eastAsia="en-GB"/>
              </w:rPr>
            </w:pPr>
            <w:r w:rsidRPr="00CA75A2">
              <w:rPr>
                <w:rFonts w:eastAsia="Arial" w:cs="Arial"/>
                <w:sz w:val="20"/>
                <w:szCs w:val="20"/>
                <w:lang w:val="en-US" w:eastAsia="en-GB"/>
              </w:rPr>
              <w:t xml:space="preserve">The market requested more clarity regarding the requirement for social value outputs to be at least proportional to the value of the contract. </w:t>
            </w:r>
          </w:p>
          <w:p w14:paraId="2B063695" w14:textId="39AA6532" w:rsidR="00DA23D2" w:rsidRPr="00CA75A2" w:rsidRDefault="00DA23D2" w:rsidP="00CA75A2">
            <w:pPr>
              <w:widowControl w:val="0"/>
              <w:spacing w:before="60" w:after="60"/>
              <w:rPr>
                <w:rFonts w:eastAsia="Arial" w:cs="Arial"/>
                <w:sz w:val="20"/>
                <w:szCs w:val="20"/>
                <w:lang w:val="en-US" w:eastAsia="en-GB"/>
              </w:rPr>
            </w:pPr>
            <w:r w:rsidRPr="00CA75A2">
              <w:rPr>
                <w:rFonts w:eastAsia="Arial" w:cs="Arial"/>
                <w:sz w:val="20"/>
                <w:szCs w:val="20"/>
                <w:lang w:val="en-US" w:eastAsia="en-GB"/>
              </w:rPr>
              <w:t xml:space="preserve">The market also questioned the 100% Pass or 0% Fail for social value KPI regime, stating that it would make no sense for the SCDP to spend any money attempting to achieve Social Value KPIs. </w:t>
            </w:r>
          </w:p>
        </w:tc>
      </w:tr>
      <w:tr w:rsidR="00DA23D2" w:rsidRPr="00DA23D2" w14:paraId="27564230" w14:textId="77777777" w:rsidTr="00CA75A2">
        <w:trPr>
          <w:trHeight w:val="425"/>
          <w:jc w:val="center"/>
        </w:trPr>
        <w:tc>
          <w:tcPr>
            <w:tcW w:w="1107" w:type="dxa"/>
            <w:tcMar>
              <w:top w:w="57" w:type="dxa"/>
              <w:left w:w="57" w:type="dxa"/>
              <w:bottom w:w="57" w:type="dxa"/>
              <w:right w:w="57" w:type="dxa"/>
            </w:tcMar>
          </w:tcPr>
          <w:p w14:paraId="55B96E09"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45BF28E2"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Task Milestones (page 10)</w:t>
            </w:r>
          </w:p>
        </w:tc>
        <w:tc>
          <w:tcPr>
            <w:tcW w:w="4677" w:type="dxa"/>
          </w:tcPr>
          <w:p w14:paraId="5190493B" w14:textId="77777777" w:rsidR="00DA23D2" w:rsidRPr="00CA75A2" w:rsidRDefault="00DA23D2" w:rsidP="00CA75A2">
            <w:pPr>
              <w:widowControl w:val="0"/>
              <w:spacing w:before="60" w:after="60"/>
              <w:rPr>
                <w:rFonts w:eastAsia="Arial" w:cs="Arial"/>
                <w:sz w:val="20"/>
                <w:szCs w:val="20"/>
                <w:u w:val="single"/>
                <w:lang w:val="en-US" w:eastAsia="en-GB"/>
              </w:rPr>
            </w:pPr>
            <w:r w:rsidRPr="00CA75A2">
              <w:rPr>
                <w:rFonts w:eastAsia="Arial" w:cs="Arial"/>
                <w:sz w:val="20"/>
                <w:szCs w:val="20"/>
                <w:lang w:val="en-US" w:eastAsia="en-GB"/>
              </w:rPr>
              <w:t>The market recommended that deductions for delays to interim milestones are available to be recovered if the final milestone is achieved by its target date, to incentivise the recovery of lost time.</w:t>
            </w:r>
          </w:p>
        </w:tc>
      </w:tr>
      <w:tr w:rsidR="00DA23D2" w:rsidRPr="00DA23D2" w14:paraId="78794450" w14:textId="77777777" w:rsidTr="00CA75A2">
        <w:trPr>
          <w:trHeight w:val="425"/>
          <w:jc w:val="center"/>
        </w:trPr>
        <w:tc>
          <w:tcPr>
            <w:tcW w:w="1107" w:type="dxa"/>
            <w:tcMar>
              <w:top w:w="57" w:type="dxa"/>
              <w:left w:w="57" w:type="dxa"/>
              <w:bottom w:w="57" w:type="dxa"/>
              <w:right w:w="57" w:type="dxa"/>
            </w:tcMar>
          </w:tcPr>
          <w:p w14:paraId="3335F88A"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388C9C73"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What happens if poor performance is not the fault of the SCDP? (page 12)</w:t>
            </w:r>
          </w:p>
        </w:tc>
        <w:tc>
          <w:tcPr>
            <w:tcW w:w="4677" w:type="dxa"/>
          </w:tcPr>
          <w:p w14:paraId="07328B85" w14:textId="12E05BC6"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The market requested that a robust and comprehensive set of the Client liability and compensation events need to be put in place where cost increases or delays occur for reasons that are out-with the reasonable control of the SCDP.</w:t>
            </w:r>
          </w:p>
          <w:p w14:paraId="7B988DA3" w14:textId="23F14F41"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There should be clear objective means of assessment and the SCDP should not be exposed to the loss of SFI or termination because of the poor performance of the Client or its other contractors, nor where cost and time measures are failed because of weather, seabed or subsurface conditions that could not have reasonably been anticipated.</w:t>
            </w:r>
          </w:p>
          <w:p w14:paraId="6316B060" w14:textId="13B103C6"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It was also proposed that Interdependency and integration risk should remain with the Client.</w:t>
            </w:r>
          </w:p>
        </w:tc>
      </w:tr>
      <w:tr w:rsidR="00DA23D2" w:rsidRPr="00DA23D2" w14:paraId="6FABD682" w14:textId="77777777" w:rsidTr="00CA75A2">
        <w:trPr>
          <w:trHeight w:val="425"/>
          <w:jc w:val="center"/>
        </w:trPr>
        <w:tc>
          <w:tcPr>
            <w:tcW w:w="1107" w:type="dxa"/>
            <w:tcMar>
              <w:top w:w="57" w:type="dxa"/>
              <w:left w:w="57" w:type="dxa"/>
              <w:bottom w:w="57" w:type="dxa"/>
              <w:right w:w="57" w:type="dxa"/>
            </w:tcMar>
          </w:tcPr>
          <w:p w14:paraId="5F3EB16A"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03290F32" w14:textId="77777777" w:rsidR="00DA23D2" w:rsidRPr="00CA75A2" w:rsidRDefault="00DA23D2" w:rsidP="00CA75A2">
            <w:pPr>
              <w:widowControl w:val="0"/>
              <w:spacing w:before="60" w:after="60"/>
              <w:rPr>
                <w:rFonts w:eastAsia="Arial" w:cs="Arial"/>
                <w:sz w:val="20"/>
                <w:szCs w:val="20"/>
                <w:lang w:val="en-US" w:eastAsia="en-GB"/>
              </w:rPr>
            </w:pPr>
            <w:r w:rsidRPr="00CA75A2">
              <w:rPr>
                <w:rFonts w:eastAsia="Arial" w:cs="Arial"/>
                <w:sz w:val="20"/>
                <w:szCs w:val="20"/>
                <w:lang w:val="en-US" w:eastAsia="en-GB"/>
              </w:rPr>
              <w:t>Will the measures/ thresholds/metrics change across the duration of the</w:t>
            </w:r>
          </w:p>
          <w:p w14:paraId="5938A2EA"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contract? (page 12)</w:t>
            </w:r>
          </w:p>
        </w:tc>
        <w:tc>
          <w:tcPr>
            <w:tcW w:w="4677" w:type="dxa"/>
          </w:tcPr>
          <w:p w14:paraId="56E37928" w14:textId="3F92DED3" w:rsidR="00DA23D2" w:rsidRPr="00CA75A2" w:rsidRDefault="00DA23D2" w:rsidP="00CA75A2">
            <w:pPr>
              <w:widowControl w:val="0"/>
              <w:spacing w:before="60" w:after="60"/>
              <w:rPr>
                <w:rFonts w:eastAsia="Arial" w:cs="Arial"/>
                <w:sz w:val="20"/>
                <w:szCs w:val="20"/>
                <w:lang w:eastAsia="en-GB"/>
              </w:rPr>
            </w:pPr>
            <w:r w:rsidRPr="00CA75A2">
              <w:rPr>
                <w:rFonts w:eastAsia="Arial" w:cs="Arial"/>
                <w:sz w:val="20"/>
                <w:szCs w:val="20"/>
                <w:lang w:eastAsia="en-GB"/>
              </w:rPr>
              <w:t>The market requested to provide a more defined mechanism to govern changes in performance and SFI measures.</w:t>
            </w:r>
          </w:p>
        </w:tc>
      </w:tr>
      <w:tr w:rsidR="00DA23D2" w:rsidRPr="00DA23D2" w14:paraId="208E7C49" w14:textId="77777777" w:rsidTr="00CA75A2">
        <w:trPr>
          <w:trHeight w:val="425"/>
          <w:jc w:val="center"/>
        </w:trPr>
        <w:tc>
          <w:tcPr>
            <w:tcW w:w="1107" w:type="dxa"/>
            <w:tcMar>
              <w:top w:w="57" w:type="dxa"/>
              <w:left w:w="57" w:type="dxa"/>
              <w:bottom w:w="57" w:type="dxa"/>
              <w:right w:w="57" w:type="dxa"/>
            </w:tcMar>
          </w:tcPr>
          <w:p w14:paraId="2E513768" w14:textId="77777777" w:rsidR="00DA23D2" w:rsidRPr="00CA75A2" w:rsidRDefault="00DA23D2" w:rsidP="00CA75A2">
            <w:pPr>
              <w:widowControl w:val="0"/>
              <w:pBdr>
                <w:top w:val="nil"/>
                <w:left w:val="nil"/>
                <w:bottom w:val="nil"/>
                <w:right w:val="nil"/>
                <w:between w:val="nil"/>
              </w:pBdr>
              <w:spacing w:before="60" w:after="60" w:line="276" w:lineRule="auto"/>
              <w:rPr>
                <w:rFonts w:eastAsia="Arial" w:cs="Arial"/>
                <w:color w:val="000000"/>
                <w:sz w:val="20"/>
                <w:szCs w:val="20"/>
                <w:lang w:eastAsia="en-GB"/>
              </w:rPr>
            </w:pPr>
            <w:r w:rsidRPr="00CA75A2">
              <w:rPr>
                <w:rFonts w:eastAsia="Arial" w:cs="Arial"/>
                <w:color w:val="000000"/>
                <w:sz w:val="20"/>
                <w:szCs w:val="20"/>
                <w:lang w:eastAsia="en-GB"/>
              </w:rPr>
              <w:t>SFI Handbook</w:t>
            </w:r>
          </w:p>
        </w:tc>
        <w:tc>
          <w:tcPr>
            <w:tcW w:w="4395" w:type="dxa"/>
            <w:tcMar>
              <w:top w:w="57" w:type="dxa"/>
              <w:left w:w="57" w:type="dxa"/>
              <w:bottom w:w="57" w:type="dxa"/>
              <w:right w:w="57" w:type="dxa"/>
            </w:tcMar>
          </w:tcPr>
          <w:p w14:paraId="7CC7661F" w14:textId="77777777" w:rsidR="00DA23D2" w:rsidRPr="00CA75A2" w:rsidRDefault="00DA23D2" w:rsidP="00CA75A2">
            <w:pPr>
              <w:widowControl w:val="0"/>
              <w:pBdr>
                <w:top w:val="nil"/>
                <w:left w:val="nil"/>
                <w:bottom w:val="nil"/>
                <w:right w:val="nil"/>
                <w:between w:val="nil"/>
              </w:pBdr>
              <w:spacing w:before="60" w:after="60"/>
              <w:rPr>
                <w:rFonts w:eastAsia="Arial" w:cs="Arial"/>
                <w:color w:val="000000"/>
                <w:sz w:val="20"/>
                <w:szCs w:val="20"/>
                <w:lang w:eastAsia="en-GB"/>
              </w:rPr>
            </w:pPr>
            <w:r w:rsidRPr="00CA75A2">
              <w:rPr>
                <w:rFonts w:eastAsia="Arial" w:cs="Arial"/>
                <w:sz w:val="20"/>
                <w:szCs w:val="20"/>
                <w:lang w:val="en-US" w:eastAsia="en-GB"/>
              </w:rPr>
              <w:t>Appendix A Scenario Example</w:t>
            </w:r>
          </w:p>
        </w:tc>
        <w:tc>
          <w:tcPr>
            <w:tcW w:w="4677" w:type="dxa"/>
          </w:tcPr>
          <w:p w14:paraId="573ED56C" w14:textId="2D8AAA44" w:rsidR="00DA23D2" w:rsidRPr="00CA75A2" w:rsidRDefault="00DA23D2" w:rsidP="00CA75A2">
            <w:pPr>
              <w:widowControl w:val="0"/>
              <w:spacing w:before="60" w:after="60"/>
              <w:rPr>
                <w:rFonts w:eastAsia="Arial" w:cs="Arial"/>
                <w:sz w:val="20"/>
                <w:szCs w:val="20"/>
                <w:highlight w:val="yellow"/>
                <w:lang w:eastAsia="en-GB"/>
              </w:rPr>
            </w:pPr>
            <w:r w:rsidRPr="00CA75A2">
              <w:rPr>
                <w:rFonts w:eastAsia="Arial" w:cs="Arial"/>
                <w:sz w:val="20"/>
                <w:szCs w:val="20"/>
                <w:lang w:eastAsia="en-GB"/>
              </w:rPr>
              <w:t>It was recommended to weight Quarterly and Annual Scores in relation to the value of each task order to avoid perverse outcomes.</w:t>
            </w:r>
          </w:p>
        </w:tc>
      </w:tr>
    </w:tbl>
    <w:p w14:paraId="4C67A345" w14:textId="7E5A250D" w:rsidR="0077164D" w:rsidRPr="00BF5FEC" w:rsidRDefault="00A057CC" w:rsidP="00CA75A2">
      <w:pPr>
        <w:pStyle w:val="Caption"/>
      </w:pPr>
      <w:bookmarkStart w:id="17" w:name="_Toc202532939"/>
      <w:r>
        <w:t xml:space="preserve">Table </w:t>
      </w:r>
      <w:r>
        <w:fldChar w:fldCharType="begin"/>
      </w:r>
      <w:r>
        <w:instrText xml:space="preserve"> SEQ Table \* ARABIC </w:instrText>
      </w:r>
      <w:r>
        <w:fldChar w:fldCharType="separate"/>
      </w:r>
      <w:r>
        <w:rPr>
          <w:noProof/>
        </w:rPr>
        <w:t>5</w:t>
      </w:r>
      <w:r>
        <w:rPr>
          <w:noProof/>
        </w:rPr>
        <w:fldChar w:fldCharType="end"/>
      </w:r>
      <w:r>
        <w:t xml:space="preserve">: </w:t>
      </w:r>
      <w:r w:rsidRPr="00A057CC">
        <w:t>SFI Handbook</w:t>
      </w:r>
      <w:r>
        <w:t xml:space="preserve"> Market Feedback</w:t>
      </w:r>
      <w:bookmarkEnd w:id="17"/>
    </w:p>
    <w:p w14:paraId="208C1B71" w14:textId="77777777" w:rsidR="00427DDC" w:rsidRPr="00BF5FEC" w:rsidRDefault="00427DDC" w:rsidP="00BF5FEC"/>
    <w:sectPr w:rsidR="00427DDC" w:rsidRPr="00BF5FEC" w:rsidSect="00C12117">
      <w:headerReference w:type="first" r:id="rId18"/>
      <w:footerReference w:type="first" r:id="rId19"/>
      <w:pgSz w:w="11907" w:h="16840" w:code="9"/>
      <w:pgMar w:top="1602" w:right="1259" w:bottom="244" w:left="1077" w:header="539"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458F9" w14:textId="77777777" w:rsidR="0013221E" w:rsidRDefault="0013221E" w:rsidP="00861618">
      <w:r>
        <w:separator/>
      </w:r>
    </w:p>
  </w:endnote>
  <w:endnote w:type="continuationSeparator" w:id="0">
    <w:p w14:paraId="4E441F43" w14:textId="77777777" w:rsidR="0013221E" w:rsidRDefault="0013221E" w:rsidP="00861618">
      <w:r>
        <w:continuationSeparator/>
      </w:r>
    </w:p>
  </w:endnote>
  <w:endnote w:type="continuationNotice" w:id="1">
    <w:p w14:paraId="36B30BDC" w14:textId="77777777" w:rsidR="0013221E" w:rsidRDefault="001322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667377"/>
      <w:docPartObj>
        <w:docPartGallery w:val="Page Numbers (Top of Page)"/>
        <w:docPartUnique/>
      </w:docPartObj>
    </w:sdtPr>
    <w:sdtContent>
      <w:p w14:paraId="3106F173" w14:textId="77777777" w:rsidR="00B03999" w:rsidRDefault="000977F4" w:rsidP="000977F4">
        <w:pPr>
          <w:pStyle w:val="Footer"/>
          <w:pBdr>
            <w:top w:val="single" w:sz="4" w:space="1" w:color="003629"/>
          </w:pBd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rPr>
          <w:t>13</w:t>
        </w:r>
        <w:r>
          <w:rPr>
            <w:b/>
            <w:bCs/>
            <w:sz w:val="24"/>
          </w:rPr>
          <w:fldChar w:fldCharType="end"/>
        </w:r>
      </w:p>
      <w:p w14:paraId="317F6249" w14:textId="20F314FC" w:rsidR="00F528D2" w:rsidRPr="000977F4" w:rsidRDefault="00B03999" w:rsidP="00B03999">
        <w:pPr>
          <w:pStyle w:val="Footer"/>
          <w:pBdr>
            <w:top w:val="single" w:sz="4" w:space="1" w:color="003629"/>
          </w:pBdr>
        </w:pPr>
        <w:r w:rsidRPr="00B03999">
          <w:t>GDF-NWS-SCDP-AXX-CC-CS-0000</w:t>
        </w:r>
        <w:r w:rsidR="00FD4E11">
          <w:t>32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DC6F" w14:textId="4B83EBBC" w:rsidR="00F528D2" w:rsidRPr="00FD1C9A" w:rsidRDefault="002213CB" w:rsidP="00C37437">
    <w:pPr>
      <w:pStyle w:val="Footer"/>
      <w:jc w:val="center"/>
    </w:pPr>
    <w:r>
      <w:rPr>
        <w:caps/>
        <w:noProof/>
      </w:rPr>
      <w:drawing>
        <wp:anchor distT="0" distB="0" distL="114300" distR="114300" simplePos="0" relativeHeight="251658245" behindDoc="0" locked="0" layoutInCell="1" allowOverlap="1" wp14:anchorId="2B701131" wp14:editId="5478211A">
          <wp:simplePos x="0" y="0"/>
          <wp:positionH relativeFrom="page">
            <wp:posOffset>0</wp:posOffset>
          </wp:positionH>
          <wp:positionV relativeFrom="page">
            <wp:posOffset>6418580</wp:posOffset>
          </wp:positionV>
          <wp:extent cx="7559040" cy="3363595"/>
          <wp:effectExtent l="0" t="0" r="3810" b="8255"/>
          <wp:wrapNone/>
          <wp:docPr id="420532083" name="Picture 420532083"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32083" name="Picture 420532083" descr="A black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3363595"/>
                  </a:xfrm>
                  <a:prstGeom prst="rect">
                    <a:avLst/>
                  </a:prstGeom>
                </pic:spPr>
              </pic:pic>
            </a:graphicData>
          </a:graphic>
          <wp14:sizeRelH relativeFrom="page">
            <wp14:pctWidth>0</wp14:pctWidth>
          </wp14:sizeRelH>
          <wp14:sizeRelV relativeFrom="page">
            <wp14:pctHeight>0</wp14:pctHeight>
          </wp14:sizeRelV>
        </wp:anchor>
      </w:drawing>
    </w:r>
    <w:r w:rsidR="00C37437">
      <w:rPr>
        <w:noProof/>
        <w:lang w:eastAsia="en-GB"/>
      </w:rPr>
      <mc:AlternateContent>
        <mc:Choice Requires="wps">
          <w:drawing>
            <wp:anchor distT="0" distB="0" distL="114300" distR="114300" simplePos="0" relativeHeight="251658240" behindDoc="0" locked="0" layoutInCell="1" allowOverlap="1" wp14:anchorId="09E572E4" wp14:editId="70008900">
              <wp:simplePos x="0" y="0"/>
              <wp:positionH relativeFrom="column">
                <wp:align>center</wp:align>
              </wp:positionH>
              <wp:positionV relativeFrom="paragraph">
                <wp:posOffset>135255</wp:posOffset>
              </wp:positionV>
              <wp:extent cx="6087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087600" cy="0"/>
                      </a:xfrm>
                      <a:prstGeom prst="line">
                        <a:avLst/>
                      </a:prstGeom>
                      <a:ln>
                        <a:solidFill>
                          <a:srgbClr val="37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096D9" id="Straight Connector 10"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0.65pt" to="479.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" strokecolor="#37424a"/>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72291"/>
      <w:docPartObj>
        <w:docPartGallery w:val="Page Numbers (Bottom of Page)"/>
        <w:docPartUnique/>
      </w:docPartObj>
    </w:sdtPr>
    <w:sdtContent>
      <w:sdt>
        <w:sdtPr>
          <w:id w:val="486217500"/>
          <w:docPartObj>
            <w:docPartGallery w:val="Page Numbers (Top of Page)"/>
            <w:docPartUnique/>
          </w:docPartObj>
        </w:sdtPr>
        <w:sdtContent>
          <w:p w14:paraId="6831652D" w14:textId="77777777" w:rsidR="00E209F6" w:rsidRDefault="00E209F6" w:rsidP="00F11DC0">
            <w:pPr>
              <w:pStyle w:val="Footer"/>
              <w:pBdr>
                <w:top w:val="single" w:sz="4" w:space="1" w:color="003629"/>
              </w:pBdr>
              <w:jc w:val="center"/>
            </w:pPr>
            <w:r>
              <w:t xml:space="preserve">Page </w:t>
            </w:r>
            <w:r>
              <w:rPr>
                <w:b/>
                <w:bCs/>
                <w:sz w:val="24"/>
              </w:rPr>
              <w:fldChar w:fldCharType="begin"/>
            </w:r>
            <w:r>
              <w:rPr>
                <w:b/>
                <w:bCs/>
              </w:rPr>
              <w:instrText xml:space="preserve"> PAGE </w:instrText>
            </w:r>
            <w:r>
              <w:rPr>
                <w:b/>
                <w:bCs/>
                <w:sz w:val="24"/>
              </w:rPr>
              <w:fldChar w:fldCharType="separate"/>
            </w:r>
            <w:r>
              <w:rPr>
                <w:b/>
                <w:bCs/>
                <w:sz w:val="24"/>
              </w:rPr>
              <w:t>28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62</w:t>
            </w:r>
            <w:r>
              <w:rPr>
                <w:b/>
                <w:bCs/>
                <w:sz w:val="24"/>
              </w:rPr>
              <w:fldChar w:fldCharType="end"/>
            </w:r>
          </w:p>
        </w:sdtContent>
      </w:sdt>
    </w:sdtContent>
  </w:sdt>
  <w:p w14:paraId="4A0355ED" w14:textId="1456AB11" w:rsidR="00E209F6" w:rsidRDefault="00B03999" w:rsidP="00F11DC0">
    <w:pPr>
      <w:pStyle w:val="Footer"/>
      <w:tabs>
        <w:tab w:val="clear" w:pos="0"/>
      </w:tabs>
    </w:pPr>
    <w:r w:rsidRPr="00B03999">
      <w:t>GDF-NWS-SCDP-AXX-CC-CS-0000</w:t>
    </w:r>
    <w:r w:rsidR="00090B8A">
      <w:t>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97FDB" w14:textId="77777777" w:rsidR="0013221E" w:rsidRDefault="0013221E" w:rsidP="00861618">
      <w:r>
        <w:separator/>
      </w:r>
    </w:p>
  </w:footnote>
  <w:footnote w:type="continuationSeparator" w:id="0">
    <w:p w14:paraId="7FBBF7F7" w14:textId="77777777" w:rsidR="0013221E" w:rsidRDefault="0013221E" w:rsidP="00861618">
      <w:r>
        <w:continuationSeparator/>
      </w:r>
    </w:p>
  </w:footnote>
  <w:footnote w:type="continuationNotice" w:id="1">
    <w:p w14:paraId="41C9280E" w14:textId="77777777" w:rsidR="0013221E" w:rsidRDefault="0013221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62C" w14:textId="6A5F8369" w:rsidR="00F528D2" w:rsidRDefault="00E97672">
    <w:r>
      <w:rPr>
        <w:noProof/>
      </w:rPr>
      <mc:AlternateContent>
        <mc:Choice Requires="wps">
          <w:drawing>
            <wp:anchor distT="0" distB="0" distL="0" distR="0" simplePos="0" relativeHeight="251658241" behindDoc="0" locked="0" layoutInCell="1" allowOverlap="1" wp14:anchorId="6D413021" wp14:editId="1D2E3961">
              <wp:simplePos x="635" y="635"/>
              <wp:positionH relativeFrom="page">
                <wp:align>center</wp:align>
              </wp:positionH>
              <wp:positionV relativeFrom="page">
                <wp:align>top</wp:align>
              </wp:positionV>
              <wp:extent cx="443865" cy="443865"/>
              <wp:effectExtent l="0" t="0" r="16510" b="1651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413021"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43E1" w14:textId="4338D89E" w:rsidR="00F528D2" w:rsidRDefault="00932B8D" w:rsidP="00DA6821">
    <w:pPr>
      <w:pStyle w:val="PROTECTIVEMARKING"/>
      <w:tabs>
        <w:tab w:val="clear" w:pos="4153"/>
        <w:tab w:val="clear" w:pos="8306"/>
      </w:tabs>
      <w:spacing w:before="0" w:after="0"/>
    </w:pPr>
    <w:r w:rsidRPr="00CB42C7">
      <w:rPr>
        <w:b w:val="0"/>
        <w:bCs/>
        <w:noProof/>
      </w:rPr>
      <w:drawing>
        <wp:anchor distT="0" distB="0" distL="114300" distR="114300" simplePos="0" relativeHeight="251658242" behindDoc="1" locked="0" layoutInCell="1" allowOverlap="1" wp14:anchorId="27A299D4" wp14:editId="087FC318">
          <wp:simplePos x="0" y="0"/>
          <wp:positionH relativeFrom="column">
            <wp:posOffset>-295275</wp:posOffset>
          </wp:positionH>
          <wp:positionV relativeFrom="page">
            <wp:posOffset>179705</wp:posOffset>
          </wp:positionV>
          <wp:extent cx="2048400" cy="752400"/>
          <wp:effectExtent l="0" t="0" r="0" b="0"/>
          <wp:wrapNone/>
          <wp:docPr id="136497793" name="Picture 13649779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400" cy="752400"/>
                  </a:xfrm>
                  <a:prstGeom prst="rect">
                    <a:avLst/>
                  </a:prstGeom>
                </pic:spPr>
              </pic:pic>
            </a:graphicData>
          </a:graphic>
          <wp14:sizeRelH relativeFrom="page">
            <wp14:pctWidth>0</wp14:pctWidth>
          </wp14:sizeRelH>
          <wp14:sizeRelV relativeFrom="page">
            <wp14:pctHeight>0</wp14:pctHeight>
          </wp14:sizeRelV>
        </wp:anchor>
      </w:drawing>
    </w:r>
    <w:r w:rsidR="00060874" w:rsidRPr="00060874">
      <w:rPr>
        <w:rFonts w:ascii="Calibri" w:eastAsia="Arial" w:hAnsi="Calibri" w:cs="Arial"/>
        <w:color w:val="FFFFFF"/>
        <w:sz w:val="20"/>
        <w:szCs w:val="22"/>
      </w:rPr>
      <w:t xml:space="preserve"> </w:t>
    </w:r>
    <w:sdt>
      <w:sdtPr>
        <w:rPr>
          <w:rFonts w:ascii="Calibri" w:eastAsia="Arial" w:hAnsi="Calibri" w:cs="Arial"/>
          <w:sz w:val="20"/>
          <w:szCs w:val="22"/>
        </w:rPr>
        <w:tag w:val="Classification"/>
        <w:id w:val="221487259"/>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NOT FOR PUBLIC RELEASE" w:value="OFFICIAL: NOT FOR PUBLIC RELEASE"/>
        </w:dropDownList>
      </w:sdtPr>
      <w:sdtContent>
        <w:r w:rsidR="00060874" w:rsidRPr="00060874">
          <w:rPr>
            <w:rFonts w:ascii="Calibri" w:eastAsia="Arial" w:hAnsi="Calibri" w:cs="Arial"/>
            <w:sz w:val="20"/>
            <w:szCs w:val="22"/>
          </w:rPr>
          <w:t>OFFICIAL: FOR PUBLIC RELEASE</w:t>
        </w:r>
      </w:sdtContent>
    </w:sdt>
  </w:p>
  <w:p w14:paraId="62AEB0FD" w14:textId="454FAAAD" w:rsidR="00817737" w:rsidRDefault="007F50DE" w:rsidP="009A6112">
    <w:pPr>
      <w:pStyle w:val="PROTECTIVEMARKING"/>
      <w:spacing w:before="0" w:after="0"/>
    </w:pPr>
    <w:r>
      <w:rPr>
        <w:caps w:val="0"/>
      </w:rPr>
      <w:t>Site Characterisation Delivery Partner</w:t>
    </w:r>
  </w:p>
  <w:p w14:paraId="1D91AE19" w14:textId="0DEB595F" w:rsidR="00F528D2" w:rsidRDefault="004616FC" w:rsidP="009A6112">
    <w:pPr>
      <w:pStyle w:val="PROTECTIVEMARKING"/>
      <w:pBdr>
        <w:bottom w:val="single" w:sz="8" w:space="7" w:color="003629"/>
      </w:pBdr>
      <w:tabs>
        <w:tab w:val="clear" w:pos="4153"/>
        <w:tab w:val="clear" w:pos="8306"/>
      </w:tabs>
      <w:spacing w:before="0" w:after="0"/>
    </w:pPr>
    <w:r>
      <w:rPr>
        <w:rFonts w:ascii="Times New Roman" w:hAnsi="Times New Roman"/>
        <w:noProof/>
        <w:lang w:eastAsia="en-GB"/>
      </w:rPr>
      <mc:AlternateContent>
        <mc:Choice Requires="wps">
          <w:drawing>
            <wp:anchor distT="0" distB="0" distL="114300" distR="114300" simplePos="0" relativeHeight="251658248" behindDoc="0" locked="0" layoutInCell="1" allowOverlap="1" wp14:anchorId="5419BEC0" wp14:editId="5779A34D">
              <wp:simplePos x="0" y="0"/>
              <wp:positionH relativeFrom="margin">
                <wp:posOffset>0</wp:posOffset>
              </wp:positionH>
              <wp:positionV relativeFrom="paragraph">
                <wp:posOffset>3559194</wp:posOffset>
              </wp:positionV>
              <wp:extent cx="6134100" cy="2000250"/>
              <wp:effectExtent l="76200" t="1352550" r="38100" b="1352550"/>
              <wp:wrapNone/>
              <wp:docPr id="1413934186" name="Text Box 1"/>
              <wp:cNvGraphicFramePr/>
              <a:graphic xmlns:a="http://schemas.openxmlformats.org/drawingml/2006/main">
                <a:graphicData uri="http://schemas.microsoft.com/office/word/2010/wordprocessingShape">
                  <wps:wsp>
                    <wps:cNvSpPr txBox="1"/>
                    <wps:spPr>
                      <a:xfrm rot="19902897">
                        <a:off x="0" y="0"/>
                        <a:ext cx="6134100" cy="2000250"/>
                      </a:xfrm>
                      <a:prstGeom prst="rect">
                        <a:avLst/>
                      </a:prstGeom>
                      <a:solidFill>
                        <a:schemeClr val="lt1"/>
                      </a:solidFill>
                      <a:ln w="6350">
                        <a:noFill/>
                      </a:ln>
                    </wps:spPr>
                    <wps:txbx>
                      <w:txbxContent>
                        <w:p w14:paraId="02C33BDB" w14:textId="77777777" w:rsidR="004616FC" w:rsidRDefault="004616FC" w:rsidP="004616FC">
                          <w:pPr>
                            <w:jc w:val="center"/>
                            <w:rPr>
                              <w:color w:val="DBDBDB"/>
                              <w:sz w:val="260"/>
                              <w:szCs w:val="280"/>
                            </w:rPr>
                          </w:pPr>
                          <w:r>
                            <w:rPr>
                              <w:color w:val="DBDBDB"/>
                              <w:sz w:val="260"/>
                              <w:szCs w:val="280"/>
                            </w:rPr>
                            <w:t>DRAFT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419BEC0" id="_x0000_t202" coordsize="21600,21600" o:spt="202" path="m,l,21600r21600,l21600,xe">
              <v:stroke joinstyle="miter"/>
              <v:path gradientshapeok="t" o:connecttype="rect"/>
            </v:shapetype>
            <v:shape id="Text Box 1" o:spid="_x0000_s1027" type="#_x0000_t202" style="position:absolute;left:0;text-align:left;margin-left:0;margin-top:280.25pt;width:483pt;height:157.5pt;rotation:-1853689fd;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" fillcolor="white [3201]" stroked="f" strokeweight=".5pt">
              <v:textbox>
                <w:txbxContent>
                  <w:p w14:paraId="02C33BDB" w14:textId="77777777" w:rsidR="004616FC" w:rsidRDefault="004616FC" w:rsidP="004616FC">
                    <w:pPr>
                      <w:jc w:val="center"/>
                      <w:rPr>
                        <w:color w:val="DBDBDB"/>
                        <w:sz w:val="260"/>
                        <w:szCs w:val="280"/>
                      </w:rPr>
                    </w:pPr>
                    <w:r>
                      <w:rPr>
                        <w:color w:val="DBDBDB"/>
                        <w:sz w:val="260"/>
                        <w:szCs w:val="280"/>
                      </w:rPr>
                      <w:t>DRAFT</w:t>
                    </w:r>
                  </w:p>
                </w:txbxContent>
              </v:textbox>
              <w10:wrap anchorx="margin"/>
            </v:shape>
          </w:pict>
        </mc:Fallback>
      </mc:AlternateContent>
    </w:r>
    <w:r w:rsidR="00653704">
      <w:rPr>
        <w:caps w:val="0"/>
      </w:rPr>
      <w:t xml:space="preserve">PS23 – </w:t>
    </w:r>
    <w:r w:rsidR="00653704">
      <w:rPr>
        <w:rFonts w:ascii="Times New Roman" w:hAnsi="Times New Roman"/>
        <w:noProof/>
        <w:lang w:eastAsia="en-GB"/>
      </w:rPr>
      <mc:AlternateContent>
        <mc:Choice Requires="wps">
          <w:drawing>
            <wp:anchor distT="0" distB="0" distL="114300" distR="114300" simplePos="0" relativeHeight="251658249" behindDoc="0" locked="0" layoutInCell="1" allowOverlap="1" wp14:anchorId="31E676BF" wp14:editId="71663F19">
              <wp:simplePos x="0" y="0"/>
              <wp:positionH relativeFrom="margin">
                <wp:posOffset>0</wp:posOffset>
              </wp:positionH>
              <wp:positionV relativeFrom="paragraph">
                <wp:posOffset>4011883</wp:posOffset>
              </wp:positionV>
              <wp:extent cx="6134100" cy="2000250"/>
              <wp:effectExtent l="76200" t="1352550" r="38100" b="1352550"/>
              <wp:wrapNone/>
              <wp:docPr id="926924113" name="Text Box 1"/>
              <wp:cNvGraphicFramePr/>
              <a:graphic xmlns:a="http://schemas.openxmlformats.org/drawingml/2006/main">
                <a:graphicData uri="http://schemas.microsoft.com/office/word/2010/wordprocessingShape">
                  <wps:wsp>
                    <wps:cNvSpPr txBox="1"/>
                    <wps:spPr>
                      <a:xfrm rot="19902897">
                        <a:off x="0" y="0"/>
                        <a:ext cx="6134100" cy="2000250"/>
                      </a:xfrm>
                      <a:prstGeom prst="rect">
                        <a:avLst/>
                      </a:prstGeom>
                      <a:solidFill>
                        <a:schemeClr val="lt1"/>
                      </a:solidFill>
                      <a:ln w="6350">
                        <a:noFill/>
                      </a:ln>
                    </wps:spPr>
                    <wps:txbx>
                      <w:txbxContent>
                        <w:p w14:paraId="2A5C7A20" w14:textId="77777777" w:rsidR="00653704" w:rsidRDefault="00653704" w:rsidP="00653704">
                          <w:pPr>
                            <w:jc w:val="center"/>
                            <w:rPr>
                              <w:color w:val="DBDBDB"/>
                              <w:sz w:val="260"/>
                              <w:szCs w:val="280"/>
                            </w:rPr>
                          </w:pPr>
                          <w:r>
                            <w:rPr>
                              <w:color w:val="DBDBDB"/>
                              <w:sz w:val="260"/>
                              <w:szCs w:val="280"/>
                            </w:rPr>
                            <w:t>DRAFT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E676BF" id="_x0000_s1028" type="#_x0000_t202" style="position:absolute;left:0;text-align:left;margin-left:0;margin-top:315.9pt;width:483pt;height:157.5pt;rotation:-1853689fd;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" fillcolor="white [3201]" stroked="f" strokeweight=".5pt">
              <v:textbox>
                <w:txbxContent>
                  <w:p w14:paraId="2A5C7A20" w14:textId="77777777" w:rsidR="00653704" w:rsidRDefault="00653704" w:rsidP="00653704">
                    <w:pPr>
                      <w:jc w:val="center"/>
                      <w:rPr>
                        <w:color w:val="DBDBDB"/>
                        <w:sz w:val="260"/>
                        <w:szCs w:val="280"/>
                      </w:rPr>
                    </w:pPr>
                    <w:r>
                      <w:rPr>
                        <w:color w:val="DBDBDB"/>
                        <w:sz w:val="260"/>
                        <w:szCs w:val="280"/>
                      </w:rPr>
                      <w:t>DRAFT</w:t>
                    </w:r>
                  </w:p>
                </w:txbxContent>
              </v:textbox>
              <w10:wrap anchorx="margin"/>
            </v:shape>
          </w:pict>
        </mc:Fallback>
      </mc:AlternateContent>
    </w:r>
    <w:r w:rsidR="00653704">
      <w:rPr>
        <w:caps w:val="0"/>
      </w:rPr>
      <w:t>Pre-Market Engagement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B1B3" w14:textId="7318EF91" w:rsidR="00F528D2" w:rsidRPr="0096755E" w:rsidRDefault="0096755E" w:rsidP="0096755E">
    <w:pPr>
      <w:tabs>
        <w:tab w:val="center" w:pos="4513"/>
        <w:tab w:val="center" w:pos="4677"/>
        <w:tab w:val="left" w:pos="5130"/>
        <w:tab w:val="right" w:pos="9026"/>
      </w:tabs>
      <w:spacing w:before="0"/>
      <w:rPr>
        <w:rFonts w:ascii="Calibri" w:eastAsia="Arial" w:hAnsi="Calibri" w:cs="Arial"/>
        <w:caps/>
        <w:color w:val="FFFFFF"/>
        <w:sz w:val="20"/>
        <w:szCs w:val="22"/>
      </w:rPr>
    </w:pPr>
    <w:r w:rsidRPr="0096755E">
      <w:rPr>
        <w:rFonts w:ascii="Calibri" w:eastAsia="Arial" w:hAnsi="Calibri" w:cs="Arial"/>
        <w:caps/>
        <w:noProof/>
        <w:color w:val="FFFFFF"/>
        <w:sz w:val="20"/>
        <w:szCs w:val="22"/>
      </w:rPr>
      <w:drawing>
        <wp:anchor distT="0" distB="0" distL="114300" distR="114300" simplePos="0" relativeHeight="251658243" behindDoc="0" locked="0" layoutInCell="1" allowOverlap="1" wp14:anchorId="76A41325" wp14:editId="72B9F016">
          <wp:simplePos x="0" y="0"/>
          <wp:positionH relativeFrom="margin">
            <wp:posOffset>-200025</wp:posOffset>
          </wp:positionH>
          <wp:positionV relativeFrom="page">
            <wp:posOffset>363855</wp:posOffset>
          </wp:positionV>
          <wp:extent cx="2242185" cy="575310"/>
          <wp:effectExtent l="0" t="0" r="5715" b="0"/>
          <wp:wrapSquare wrapText="bothSides"/>
          <wp:docPr id="886519465" name="Picture 88651946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40455" name="Picture 1263840455"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2185" cy="575310"/>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eastAsia="Arial" w:hAnsi="Calibri" w:cs="Arial"/>
          <w:color w:val="FFFFFF"/>
          <w:sz w:val="20"/>
          <w:szCs w:val="22"/>
        </w:rPr>
        <w:tag w:val="Classification"/>
        <w:id w:val="1351690695"/>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NOT FOR PUBLIC RELEASE" w:value="OFFICIAL: NOT FOR PUBLIC RELEASE"/>
        </w:dropDownList>
      </w:sdtPr>
      <w:sdtContent>
        <w:r w:rsidR="00E5189C">
          <w:rPr>
            <w:rFonts w:ascii="Calibri" w:eastAsia="Arial" w:hAnsi="Calibri" w:cs="Arial"/>
            <w:color w:val="FFFFFF"/>
            <w:sz w:val="20"/>
            <w:szCs w:val="22"/>
          </w:rPr>
          <w:t>OFFICIAL: FOR PUBLIC RELEASE</w:t>
        </w:r>
      </w:sdtContent>
    </w:sdt>
    <w:r w:rsidRPr="0096755E">
      <w:rPr>
        <w:rFonts w:ascii="Calibri" w:eastAsia="Arial" w:hAnsi="Calibri" w:cs="Arial"/>
        <w:caps/>
        <w:noProof/>
        <w:color w:val="FFFFFF"/>
        <w:sz w:val="20"/>
        <w:szCs w:val="22"/>
      </w:rPr>
      <mc:AlternateContent>
        <mc:Choice Requires="wps">
          <w:drawing>
            <wp:anchor distT="0" distB="0" distL="114300" distR="114300" simplePos="0" relativeHeight="251658244" behindDoc="1" locked="0" layoutInCell="1" allowOverlap="1" wp14:anchorId="4741DC6B" wp14:editId="44B1DE25">
              <wp:simplePos x="0" y="0"/>
              <wp:positionH relativeFrom="page">
                <wp:align>center</wp:align>
              </wp:positionH>
              <wp:positionV relativeFrom="page">
                <wp:align>center</wp:align>
              </wp:positionV>
              <wp:extent cx="7560000" cy="10691640"/>
              <wp:effectExtent l="0" t="0" r="3175" b="0"/>
              <wp:wrapNone/>
              <wp:docPr id="32" name="Rectangle 32"/>
              <wp:cNvGraphicFramePr/>
              <a:graphic xmlns:a="http://schemas.openxmlformats.org/drawingml/2006/main">
                <a:graphicData uri="http://schemas.microsoft.com/office/word/2010/wordprocessingShape">
                  <wps:wsp>
                    <wps:cNvSpPr/>
                    <wps:spPr>
                      <a:xfrm>
                        <a:off x="0" y="0"/>
                        <a:ext cx="7560000" cy="10691640"/>
                      </a:xfrm>
                      <a:prstGeom prst="rect">
                        <a:avLst/>
                      </a:prstGeom>
                      <a:solidFill>
                        <a:srgbClr val="0036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20040" id="Rectangle 32" o:spid="_x0000_s1026" style="position:absolute;margin-left:0;margin-top:0;width:595.3pt;height:841.8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" fillcolor="#003629"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849C" w14:textId="201ECDA0" w:rsidR="00B03999" w:rsidRPr="00060874" w:rsidRDefault="00000000" w:rsidP="00C12117">
    <w:pPr>
      <w:pStyle w:val="PROTECTIVEMARKING"/>
      <w:tabs>
        <w:tab w:val="clear" w:pos="4153"/>
        <w:tab w:val="clear" w:pos="8306"/>
      </w:tabs>
      <w:spacing w:before="0" w:after="0"/>
      <w:rPr>
        <w:caps w:val="0"/>
      </w:rPr>
    </w:pPr>
    <w:sdt>
      <w:sdtPr>
        <w:rPr>
          <w:rFonts w:ascii="Calibri" w:eastAsia="Arial" w:hAnsi="Calibri" w:cs="Arial"/>
          <w:sz w:val="20"/>
          <w:szCs w:val="22"/>
        </w:rPr>
        <w:tag w:val="Classification"/>
        <w:id w:val="-1388952615"/>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NOT FOR PUBLIC RELEASE" w:value="OFFICIAL: NOT FOR PUBLIC RELEASE"/>
        </w:dropDownList>
      </w:sdtPr>
      <w:sdtContent>
        <w:r w:rsidR="00060874" w:rsidRPr="00060874">
          <w:rPr>
            <w:rFonts w:ascii="Calibri" w:eastAsia="Arial" w:hAnsi="Calibri" w:cs="Arial"/>
            <w:sz w:val="20"/>
            <w:szCs w:val="22"/>
          </w:rPr>
          <w:t>OFFICIAL: FOR PUBLIC RELEASE</w:t>
        </w:r>
      </w:sdtContent>
    </w:sdt>
  </w:p>
  <w:p w14:paraId="4353C36C" w14:textId="3D9F836E" w:rsidR="001F6748" w:rsidRDefault="00306616" w:rsidP="00C12117">
    <w:pPr>
      <w:pStyle w:val="PROTECTIVEMARKING"/>
      <w:tabs>
        <w:tab w:val="clear" w:pos="4153"/>
        <w:tab w:val="clear" w:pos="8306"/>
      </w:tabs>
      <w:spacing w:before="0" w:after="0"/>
    </w:pPr>
    <w:r w:rsidRPr="00CB42C7">
      <w:rPr>
        <w:b w:val="0"/>
        <w:bCs/>
        <w:noProof/>
      </w:rPr>
      <w:drawing>
        <wp:anchor distT="0" distB="0" distL="114300" distR="114300" simplePos="0" relativeHeight="251658246" behindDoc="1" locked="0" layoutInCell="1" allowOverlap="1" wp14:anchorId="1B649584" wp14:editId="23AC6D3C">
          <wp:simplePos x="0" y="0"/>
          <wp:positionH relativeFrom="page">
            <wp:posOffset>379095</wp:posOffset>
          </wp:positionH>
          <wp:positionV relativeFrom="page">
            <wp:posOffset>163992</wp:posOffset>
          </wp:positionV>
          <wp:extent cx="2047875" cy="751840"/>
          <wp:effectExtent l="0" t="0" r="9525" b="0"/>
          <wp:wrapNone/>
          <wp:docPr id="1610315005" name="Picture 161031500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875" cy="751840"/>
                  </a:xfrm>
                  <a:prstGeom prst="rect">
                    <a:avLst/>
                  </a:prstGeom>
                </pic:spPr>
              </pic:pic>
            </a:graphicData>
          </a:graphic>
          <wp14:sizeRelH relativeFrom="page">
            <wp14:pctWidth>0</wp14:pctWidth>
          </wp14:sizeRelH>
          <wp14:sizeRelV relativeFrom="page">
            <wp14:pctHeight>0</wp14:pctHeight>
          </wp14:sizeRelV>
        </wp:anchor>
      </w:drawing>
    </w:r>
    <w:r w:rsidR="00C12117">
      <w:rPr>
        <w:caps w:val="0"/>
      </w:rPr>
      <w:t>S</w:t>
    </w:r>
    <w:r w:rsidR="001C1D11">
      <w:rPr>
        <w:caps w:val="0"/>
      </w:rPr>
      <w:t xml:space="preserve">ite </w:t>
    </w:r>
    <w:r w:rsidR="00C12117">
      <w:rPr>
        <w:caps w:val="0"/>
      </w:rPr>
      <w:t>C</w:t>
    </w:r>
    <w:r w:rsidR="001C1D11">
      <w:rPr>
        <w:caps w:val="0"/>
      </w:rPr>
      <w:t xml:space="preserve">haracterisation </w:t>
    </w:r>
    <w:r w:rsidR="00C12117">
      <w:rPr>
        <w:caps w:val="0"/>
      </w:rPr>
      <w:t>D</w:t>
    </w:r>
    <w:r w:rsidR="001C1D11">
      <w:rPr>
        <w:caps w:val="0"/>
      </w:rPr>
      <w:t xml:space="preserve">elivery </w:t>
    </w:r>
    <w:r w:rsidR="00C12117">
      <w:rPr>
        <w:caps w:val="0"/>
      </w:rPr>
      <w:t>P</w:t>
    </w:r>
    <w:r w:rsidR="001C1D11">
      <w:rPr>
        <w:caps w:val="0"/>
      </w:rPr>
      <w:t>artner</w:t>
    </w:r>
  </w:p>
  <w:p w14:paraId="76E07139" w14:textId="3B8B9BAF" w:rsidR="001F6748" w:rsidRPr="00B03999" w:rsidRDefault="00C31B29" w:rsidP="00B03999">
    <w:pPr>
      <w:pStyle w:val="PROTECTIVEMARKING"/>
      <w:pBdr>
        <w:bottom w:val="single" w:sz="8" w:space="7" w:color="003629"/>
      </w:pBdr>
      <w:tabs>
        <w:tab w:val="clear" w:pos="4153"/>
        <w:tab w:val="clear" w:pos="8306"/>
        <w:tab w:val="center" w:pos="4785"/>
        <w:tab w:val="left" w:pos="6614"/>
      </w:tabs>
      <w:spacing w:before="0" w:after="0"/>
    </w:pPr>
    <w:r>
      <w:rPr>
        <w:caps w:val="0"/>
      </w:rPr>
      <w:t xml:space="preserve">PS23 </w:t>
    </w:r>
    <w:r w:rsidR="00653704">
      <w:rPr>
        <w:caps w:val="0"/>
      </w:rPr>
      <w:t>–</w:t>
    </w:r>
    <w:r>
      <w:rPr>
        <w:caps w:val="0"/>
      </w:rPr>
      <w:t xml:space="preserve"> </w:t>
    </w:r>
    <w:r w:rsidR="004616FC">
      <w:rPr>
        <w:rFonts w:ascii="Times New Roman" w:hAnsi="Times New Roman"/>
        <w:noProof/>
        <w:lang w:eastAsia="en-GB"/>
      </w:rPr>
      <mc:AlternateContent>
        <mc:Choice Requires="wps">
          <w:drawing>
            <wp:anchor distT="0" distB="0" distL="114300" distR="114300" simplePos="0" relativeHeight="251658247" behindDoc="0" locked="0" layoutInCell="1" allowOverlap="1" wp14:anchorId="1AD09560" wp14:editId="2A791910">
              <wp:simplePos x="0" y="0"/>
              <wp:positionH relativeFrom="margin">
                <wp:posOffset>0</wp:posOffset>
              </wp:positionH>
              <wp:positionV relativeFrom="paragraph">
                <wp:posOffset>4011883</wp:posOffset>
              </wp:positionV>
              <wp:extent cx="6134100" cy="2000250"/>
              <wp:effectExtent l="76200" t="1352550" r="38100" b="1352550"/>
              <wp:wrapNone/>
              <wp:docPr id="1038109328" name="Text Box 1"/>
              <wp:cNvGraphicFramePr/>
              <a:graphic xmlns:a="http://schemas.openxmlformats.org/drawingml/2006/main">
                <a:graphicData uri="http://schemas.microsoft.com/office/word/2010/wordprocessingShape">
                  <wps:wsp>
                    <wps:cNvSpPr txBox="1"/>
                    <wps:spPr>
                      <a:xfrm rot="19902897">
                        <a:off x="0" y="0"/>
                        <a:ext cx="6134100" cy="2000250"/>
                      </a:xfrm>
                      <a:prstGeom prst="rect">
                        <a:avLst/>
                      </a:prstGeom>
                      <a:solidFill>
                        <a:schemeClr val="lt1"/>
                      </a:solidFill>
                      <a:ln w="6350">
                        <a:noFill/>
                      </a:ln>
                    </wps:spPr>
                    <wps:txbx>
                      <w:txbxContent>
                        <w:p w14:paraId="68D7B5D9" w14:textId="77777777" w:rsidR="004616FC" w:rsidRDefault="004616FC" w:rsidP="004616FC">
                          <w:pPr>
                            <w:jc w:val="center"/>
                            <w:rPr>
                              <w:color w:val="DBDBDB"/>
                              <w:sz w:val="260"/>
                              <w:szCs w:val="280"/>
                            </w:rPr>
                          </w:pPr>
                          <w:r>
                            <w:rPr>
                              <w:color w:val="DBDBDB"/>
                              <w:sz w:val="260"/>
                              <w:szCs w:val="280"/>
                            </w:rPr>
                            <w:t>DRAFT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D09560" id="_x0000_t202" coordsize="21600,21600" o:spt="202" path="m,l,21600r21600,l21600,xe">
              <v:stroke joinstyle="miter"/>
              <v:path gradientshapeok="t" o:connecttype="rect"/>
            </v:shapetype>
            <v:shape id="_x0000_s1029" type="#_x0000_t202" style="position:absolute;left:0;text-align:left;margin-left:0;margin-top:315.9pt;width:483pt;height:157.5pt;rotation:-1853689fd;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" fillcolor="white [3201]" stroked="f" strokeweight=".5pt">
              <v:textbox>
                <w:txbxContent>
                  <w:p w14:paraId="68D7B5D9" w14:textId="77777777" w:rsidR="004616FC" w:rsidRDefault="004616FC" w:rsidP="004616FC">
                    <w:pPr>
                      <w:jc w:val="center"/>
                      <w:rPr>
                        <w:color w:val="DBDBDB"/>
                        <w:sz w:val="260"/>
                        <w:szCs w:val="280"/>
                      </w:rPr>
                    </w:pPr>
                    <w:r>
                      <w:rPr>
                        <w:color w:val="DBDBDB"/>
                        <w:sz w:val="260"/>
                        <w:szCs w:val="280"/>
                      </w:rPr>
                      <w:t>DRAFT</w:t>
                    </w:r>
                  </w:p>
                </w:txbxContent>
              </v:textbox>
              <w10:wrap anchorx="margin"/>
            </v:shape>
          </w:pict>
        </mc:Fallback>
      </mc:AlternateContent>
    </w:r>
    <w:r>
      <w:rPr>
        <w:caps w:val="0"/>
      </w:rPr>
      <w:t>Pre</w:t>
    </w:r>
    <w:r w:rsidR="00653704">
      <w:rPr>
        <w:caps w:val="0"/>
      </w:rPr>
      <w:t>-Market Engagement Summary</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04E"/>
    <w:multiLevelType w:val="hybridMultilevel"/>
    <w:tmpl w:val="A644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4D04"/>
    <w:multiLevelType w:val="hybridMultilevel"/>
    <w:tmpl w:val="D10677B6"/>
    <w:lvl w:ilvl="0" w:tplc="4E6C01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16CB3"/>
    <w:multiLevelType w:val="hybridMultilevel"/>
    <w:tmpl w:val="DC22C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311D6C"/>
    <w:multiLevelType w:val="hybridMultilevel"/>
    <w:tmpl w:val="2334D7A0"/>
    <w:lvl w:ilvl="0" w:tplc="BE6249B0">
      <w:start w:val="1"/>
      <w:numFmt w:val="lowerLetter"/>
      <w:pStyle w:val="Lettered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00421"/>
    <w:multiLevelType w:val="hybridMultilevel"/>
    <w:tmpl w:val="FFFFFFFF"/>
    <w:lvl w:ilvl="0" w:tplc="07E8B5FC">
      <w:start w:val="1"/>
      <w:numFmt w:val="bullet"/>
      <w:lvlText w:val=""/>
      <w:lvlJc w:val="left"/>
      <w:pPr>
        <w:ind w:left="780" w:hanging="360"/>
      </w:pPr>
      <w:rPr>
        <w:rFonts w:ascii="Symbol" w:hAnsi="Symbol" w:hint="default"/>
      </w:rPr>
    </w:lvl>
    <w:lvl w:ilvl="1" w:tplc="184A1F08">
      <w:start w:val="1"/>
      <w:numFmt w:val="bullet"/>
      <w:lvlText w:val="o"/>
      <w:lvlJc w:val="left"/>
      <w:pPr>
        <w:ind w:left="1440" w:hanging="360"/>
      </w:pPr>
      <w:rPr>
        <w:rFonts w:ascii="Courier New" w:hAnsi="Courier New" w:hint="default"/>
      </w:rPr>
    </w:lvl>
    <w:lvl w:ilvl="2" w:tplc="B55E54E4">
      <w:start w:val="1"/>
      <w:numFmt w:val="bullet"/>
      <w:lvlText w:val=""/>
      <w:lvlJc w:val="left"/>
      <w:pPr>
        <w:ind w:left="2160" w:hanging="360"/>
      </w:pPr>
      <w:rPr>
        <w:rFonts w:ascii="Wingdings" w:hAnsi="Wingdings" w:hint="default"/>
      </w:rPr>
    </w:lvl>
    <w:lvl w:ilvl="3" w:tplc="28BC0DBA">
      <w:start w:val="1"/>
      <w:numFmt w:val="bullet"/>
      <w:lvlText w:val=""/>
      <w:lvlJc w:val="left"/>
      <w:pPr>
        <w:ind w:left="2880" w:hanging="360"/>
      </w:pPr>
      <w:rPr>
        <w:rFonts w:ascii="Symbol" w:hAnsi="Symbol" w:hint="default"/>
      </w:rPr>
    </w:lvl>
    <w:lvl w:ilvl="4" w:tplc="E420568E">
      <w:start w:val="1"/>
      <w:numFmt w:val="bullet"/>
      <w:lvlText w:val="o"/>
      <w:lvlJc w:val="left"/>
      <w:pPr>
        <w:ind w:left="3600" w:hanging="360"/>
      </w:pPr>
      <w:rPr>
        <w:rFonts w:ascii="Courier New" w:hAnsi="Courier New" w:hint="default"/>
      </w:rPr>
    </w:lvl>
    <w:lvl w:ilvl="5" w:tplc="1C16FD3E">
      <w:start w:val="1"/>
      <w:numFmt w:val="bullet"/>
      <w:lvlText w:val=""/>
      <w:lvlJc w:val="left"/>
      <w:pPr>
        <w:ind w:left="4320" w:hanging="360"/>
      </w:pPr>
      <w:rPr>
        <w:rFonts w:ascii="Wingdings" w:hAnsi="Wingdings" w:hint="default"/>
      </w:rPr>
    </w:lvl>
    <w:lvl w:ilvl="6" w:tplc="DEB2EC28">
      <w:start w:val="1"/>
      <w:numFmt w:val="bullet"/>
      <w:lvlText w:val=""/>
      <w:lvlJc w:val="left"/>
      <w:pPr>
        <w:ind w:left="5040" w:hanging="360"/>
      </w:pPr>
      <w:rPr>
        <w:rFonts w:ascii="Symbol" w:hAnsi="Symbol" w:hint="default"/>
      </w:rPr>
    </w:lvl>
    <w:lvl w:ilvl="7" w:tplc="7D967F9C">
      <w:start w:val="1"/>
      <w:numFmt w:val="bullet"/>
      <w:lvlText w:val="o"/>
      <w:lvlJc w:val="left"/>
      <w:pPr>
        <w:ind w:left="5760" w:hanging="360"/>
      </w:pPr>
      <w:rPr>
        <w:rFonts w:ascii="Courier New" w:hAnsi="Courier New" w:hint="default"/>
      </w:rPr>
    </w:lvl>
    <w:lvl w:ilvl="8" w:tplc="25FE0E2E">
      <w:start w:val="1"/>
      <w:numFmt w:val="bullet"/>
      <w:lvlText w:val=""/>
      <w:lvlJc w:val="left"/>
      <w:pPr>
        <w:ind w:left="6480" w:hanging="360"/>
      </w:pPr>
      <w:rPr>
        <w:rFonts w:ascii="Wingdings" w:hAnsi="Wingdings" w:hint="default"/>
      </w:rPr>
    </w:lvl>
  </w:abstractNum>
  <w:abstractNum w:abstractNumId="5" w15:restartNumberingAfterBreak="0">
    <w:nsid w:val="23DD0EA7"/>
    <w:multiLevelType w:val="multilevel"/>
    <w:tmpl w:val="89446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A258C"/>
    <w:multiLevelType w:val="multilevel"/>
    <w:tmpl w:val="F0AED63A"/>
    <w:lvl w:ilvl="0">
      <w:start w:val="1"/>
      <w:numFmt w:val="decimal"/>
      <w:pStyle w:val="Heading1"/>
      <w:lvlText w:val="%1"/>
      <w:lvlJc w:val="left"/>
      <w:pPr>
        <w:ind w:left="432" w:hanging="432"/>
      </w:pPr>
      <w:rPr>
        <w:b/>
        <w:bCs/>
        <w:i w:val="0"/>
        <w:iCs/>
        <w:color w:val="003629"/>
        <w:sz w:val="40"/>
        <w:szCs w:val="40"/>
      </w:rPr>
    </w:lvl>
    <w:lvl w:ilvl="1">
      <w:start w:val="1"/>
      <w:numFmt w:val="decimal"/>
      <w:pStyle w:val="Heading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sz w:val="28"/>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i w:val="0"/>
        <w:iCs w:val="0"/>
        <w:color w:val="003629"/>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E7738BF"/>
    <w:multiLevelType w:val="hybridMultilevel"/>
    <w:tmpl w:val="A2C04A3A"/>
    <w:lvl w:ilvl="0" w:tplc="10A6F606">
      <w:start w:val="1"/>
      <w:numFmt w:val="upperLetter"/>
      <w:pStyle w:val="LetteredList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469A4"/>
    <w:multiLevelType w:val="hybridMultilevel"/>
    <w:tmpl w:val="0A52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46D73"/>
    <w:multiLevelType w:val="hybridMultilevel"/>
    <w:tmpl w:val="4CF83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706C4"/>
    <w:multiLevelType w:val="hybridMultilevel"/>
    <w:tmpl w:val="9BD0E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DB659"/>
    <w:multiLevelType w:val="hybridMultilevel"/>
    <w:tmpl w:val="FFFFFFFF"/>
    <w:lvl w:ilvl="0" w:tplc="569AA3FA">
      <w:start w:val="1"/>
      <w:numFmt w:val="bullet"/>
      <w:lvlText w:val=""/>
      <w:lvlJc w:val="left"/>
      <w:pPr>
        <w:ind w:left="720" w:hanging="360"/>
      </w:pPr>
      <w:rPr>
        <w:rFonts w:ascii="Symbol" w:hAnsi="Symbol" w:hint="default"/>
      </w:rPr>
    </w:lvl>
    <w:lvl w:ilvl="1" w:tplc="40624A1C">
      <w:start w:val="1"/>
      <w:numFmt w:val="bullet"/>
      <w:lvlText w:val="o"/>
      <w:lvlJc w:val="left"/>
      <w:pPr>
        <w:ind w:left="1440" w:hanging="360"/>
      </w:pPr>
      <w:rPr>
        <w:rFonts w:ascii="Courier New" w:hAnsi="Courier New" w:hint="default"/>
      </w:rPr>
    </w:lvl>
    <w:lvl w:ilvl="2" w:tplc="A1ACAA30">
      <w:start w:val="1"/>
      <w:numFmt w:val="bullet"/>
      <w:lvlText w:val=""/>
      <w:lvlJc w:val="left"/>
      <w:pPr>
        <w:ind w:left="2160" w:hanging="360"/>
      </w:pPr>
      <w:rPr>
        <w:rFonts w:ascii="Wingdings" w:hAnsi="Wingdings" w:hint="default"/>
      </w:rPr>
    </w:lvl>
    <w:lvl w:ilvl="3" w:tplc="7AD845D8">
      <w:start w:val="1"/>
      <w:numFmt w:val="bullet"/>
      <w:lvlText w:val=""/>
      <w:lvlJc w:val="left"/>
      <w:pPr>
        <w:ind w:left="2880" w:hanging="360"/>
      </w:pPr>
      <w:rPr>
        <w:rFonts w:ascii="Symbol" w:hAnsi="Symbol" w:hint="default"/>
      </w:rPr>
    </w:lvl>
    <w:lvl w:ilvl="4" w:tplc="F510317C">
      <w:start w:val="1"/>
      <w:numFmt w:val="bullet"/>
      <w:lvlText w:val="o"/>
      <w:lvlJc w:val="left"/>
      <w:pPr>
        <w:ind w:left="3600" w:hanging="360"/>
      </w:pPr>
      <w:rPr>
        <w:rFonts w:ascii="Courier New" w:hAnsi="Courier New" w:hint="default"/>
      </w:rPr>
    </w:lvl>
    <w:lvl w:ilvl="5" w:tplc="E6443FCC">
      <w:start w:val="1"/>
      <w:numFmt w:val="bullet"/>
      <w:lvlText w:val=""/>
      <w:lvlJc w:val="left"/>
      <w:pPr>
        <w:ind w:left="4320" w:hanging="360"/>
      </w:pPr>
      <w:rPr>
        <w:rFonts w:ascii="Wingdings" w:hAnsi="Wingdings" w:hint="default"/>
      </w:rPr>
    </w:lvl>
    <w:lvl w:ilvl="6" w:tplc="072A4CDC">
      <w:start w:val="1"/>
      <w:numFmt w:val="bullet"/>
      <w:lvlText w:val=""/>
      <w:lvlJc w:val="left"/>
      <w:pPr>
        <w:ind w:left="5040" w:hanging="360"/>
      </w:pPr>
      <w:rPr>
        <w:rFonts w:ascii="Symbol" w:hAnsi="Symbol" w:hint="default"/>
      </w:rPr>
    </w:lvl>
    <w:lvl w:ilvl="7" w:tplc="25DA6D82">
      <w:start w:val="1"/>
      <w:numFmt w:val="bullet"/>
      <w:lvlText w:val="o"/>
      <w:lvlJc w:val="left"/>
      <w:pPr>
        <w:ind w:left="5760" w:hanging="360"/>
      </w:pPr>
      <w:rPr>
        <w:rFonts w:ascii="Courier New" w:hAnsi="Courier New" w:hint="default"/>
      </w:rPr>
    </w:lvl>
    <w:lvl w:ilvl="8" w:tplc="B5DC3626">
      <w:start w:val="1"/>
      <w:numFmt w:val="bullet"/>
      <w:lvlText w:val=""/>
      <w:lvlJc w:val="left"/>
      <w:pPr>
        <w:ind w:left="6480" w:hanging="360"/>
      </w:pPr>
      <w:rPr>
        <w:rFonts w:ascii="Wingdings" w:hAnsi="Wingdings" w:hint="default"/>
      </w:rPr>
    </w:lvl>
  </w:abstractNum>
  <w:abstractNum w:abstractNumId="12" w15:restartNumberingAfterBreak="0">
    <w:nsid w:val="40A52DDB"/>
    <w:multiLevelType w:val="multilevel"/>
    <w:tmpl w:val="C5A24E48"/>
    <w:lvl w:ilvl="0">
      <w:start w:val="1"/>
      <w:numFmt w:val="decimal"/>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13" w15:restartNumberingAfterBreak="0">
    <w:nsid w:val="40BD52B0"/>
    <w:multiLevelType w:val="multilevel"/>
    <w:tmpl w:val="CC427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F0402"/>
    <w:multiLevelType w:val="hybridMultilevel"/>
    <w:tmpl w:val="B6D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D85DB5"/>
    <w:multiLevelType w:val="hybridMultilevel"/>
    <w:tmpl w:val="374839BC"/>
    <w:lvl w:ilvl="0" w:tplc="08090001">
      <w:start w:val="1"/>
      <w:numFmt w:val="bullet"/>
      <w:lvlText w:val=""/>
      <w:lvlJc w:val="left"/>
      <w:pPr>
        <w:ind w:left="1080" w:hanging="72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264035"/>
    <w:multiLevelType w:val="multilevel"/>
    <w:tmpl w:val="E4702338"/>
    <w:lvl w:ilvl="0">
      <w:start w:val="1"/>
      <w:numFmt w:val="decimal"/>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17" w15:restartNumberingAfterBreak="0">
    <w:nsid w:val="5950299F"/>
    <w:multiLevelType w:val="hybridMultilevel"/>
    <w:tmpl w:val="C2A24AEE"/>
    <w:lvl w:ilvl="0" w:tplc="08090001">
      <w:start w:val="1"/>
      <w:numFmt w:val="bullet"/>
      <w:lvlText w:val=""/>
      <w:lvlJc w:val="left"/>
      <w:pPr>
        <w:ind w:left="720" w:hanging="360"/>
      </w:pPr>
      <w:rPr>
        <w:rFonts w:ascii="Symbol" w:hAnsi="Symbol" w:hint="default"/>
      </w:rPr>
    </w:lvl>
    <w:lvl w:ilvl="1" w:tplc="DB223A64">
      <w:start w:val="1"/>
      <w:numFmt w:val="bullet"/>
      <w:pStyle w:val="BulletedLis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243E0"/>
    <w:multiLevelType w:val="hybridMultilevel"/>
    <w:tmpl w:val="6B227068"/>
    <w:lvl w:ilvl="0" w:tplc="4E6C01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A63E44"/>
    <w:multiLevelType w:val="hybridMultilevel"/>
    <w:tmpl w:val="019E84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E26ED9"/>
    <w:multiLevelType w:val="multilevel"/>
    <w:tmpl w:val="94A0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4D7ED7"/>
    <w:multiLevelType w:val="hybridMultilevel"/>
    <w:tmpl w:val="A4AC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709AA"/>
    <w:multiLevelType w:val="multilevel"/>
    <w:tmpl w:val="BC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070F5E"/>
    <w:multiLevelType w:val="hybridMultilevel"/>
    <w:tmpl w:val="74B2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331772">
    <w:abstractNumId w:val="4"/>
  </w:num>
  <w:num w:numId="2" w16cid:durableId="1686244665">
    <w:abstractNumId w:val="11"/>
  </w:num>
  <w:num w:numId="3" w16cid:durableId="350959761">
    <w:abstractNumId w:val="6"/>
  </w:num>
  <w:num w:numId="4" w16cid:durableId="1911504495">
    <w:abstractNumId w:val="17"/>
  </w:num>
  <w:num w:numId="5" w16cid:durableId="761023313">
    <w:abstractNumId w:val="7"/>
  </w:num>
  <w:num w:numId="6" w16cid:durableId="438188059">
    <w:abstractNumId w:val="3"/>
  </w:num>
  <w:num w:numId="7" w16cid:durableId="1681422275">
    <w:abstractNumId w:val="14"/>
  </w:num>
  <w:num w:numId="8" w16cid:durableId="1168211383">
    <w:abstractNumId w:val="7"/>
    <w:lvlOverride w:ilvl="0">
      <w:startOverride w:val="1"/>
    </w:lvlOverride>
  </w:num>
  <w:num w:numId="9" w16cid:durableId="1165392222">
    <w:abstractNumId w:val="3"/>
    <w:lvlOverride w:ilvl="0">
      <w:startOverride w:val="1"/>
    </w:lvlOverride>
  </w:num>
  <w:num w:numId="10" w16cid:durableId="2142142101">
    <w:abstractNumId w:val="23"/>
  </w:num>
  <w:num w:numId="11" w16cid:durableId="1311400910">
    <w:abstractNumId w:val="9"/>
  </w:num>
  <w:num w:numId="12" w16cid:durableId="937755750">
    <w:abstractNumId w:val="19"/>
  </w:num>
  <w:num w:numId="13" w16cid:durableId="771361731">
    <w:abstractNumId w:val="15"/>
  </w:num>
  <w:num w:numId="14" w16cid:durableId="1546331949">
    <w:abstractNumId w:val="6"/>
  </w:num>
  <w:num w:numId="15" w16cid:durableId="1669021909">
    <w:abstractNumId w:val="6"/>
  </w:num>
  <w:num w:numId="16" w16cid:durableId="1475102441">
    <w:abstractNumId w:val="6"/>
  </w:num>
  <w:num w:numId="17" w16cid:durableId="593249786">
    <w:abstractNumId w:val="20"/>
  </w:num>
  <w:num w:numId="18" w16cid:durableId="2058770999">
    <w:abstractNumId w:val="13"/>
  </w:num>
  <w:num w:numId="19" w16cid:durableId="951325394">
    <w:abstractNumId w:val="22"/>
  </w:num>
  <w:num w:numId="20" w16cid:durableId="131675847">
    <w:abstractNumId w:val="5"/>
  </w:num>
  <w:num w:numId="21" w16cid:durableId="1684016332">
    <w:abstractNumId w:val="6"/>
  </w:num>
  <w:num w:numId="22" w16cid:durableId="2072804134">
    <w:abstractNumId w:val="10"/>
  </w:num>
  <w:num w:numId="23" w16cid:durableId="1038433149">
    <w:abstractNumId w:val="21"/>
  </w:num>
  <w:num w:numId="24" w16cid:durableId="1348679847">
    <w:abstractNumId w:val="2"/>
  </w:num>
  <w:num w:numId="25" w16cid:durableId="705645397">
    <w:abstractNumId w:val="8"/>
  </w:num>
  <w:num w:numId="26" w16cid:durableId="1851918002">
    <w:abstractNumId w:val="6"/>
  </w:num>
  <w:num w:numId="27" w16cid:durableId="1279679864">
    <w:abstractNumId w:val="0"/>
  </w:num>
  <w:num w:numId="28" w16cid:durableId="783889842">
    <w:abstractNumId w:val="16"/>
  </w:num>
  <w:num w:numId="29" w16cid:durableId="1777095091">
    <w:abstractNumId w:val="12"/>
  </w:num>
  <w:num w:numId="30" w16cid:durableId="2128890883">
    <w:abstractNumId w:val="18"/>
  </w:num>
  <w:num w:numId="31" w16cid:durableId="96385057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B1"/>
    <w:rsid w:val="0000001A"/>
    <w:rsid w:val="0000056E"/>
    <w:rsid w:val="0000064B"/>
    <w:rsid w:val="00000F92"/>
    <w:rsid w:val="00002668"/>
    <w:rsid w:val="00002860"/>
    <w:rsid w:val="000038B3"/>
    <w:rsid w:val="00003B21"/>
    <w:rsid w:val="00003EEE"/>
    <w:rsid w:val="00004251"/>
    <w:rsid w:val="00004735"/>
    <w:rsid w:val="00004CBB"/>
    <w:rsid w:val="00005760"/>
    <w:rsid w:val="00005C45"/>
    <w:rsid w:val="0000638C"/>
    <w:rsid w:val="00006533"/>
    <w:rsid w:val="00006828"/>
    <w:rsid w:val="000068A2"/>
    <w:rsid w:val="000075CE"/>
    <w:rsid w:val="00007AFA"/>
    <w:rsid w:val="00007D95"/>
    <w:rsid w:val="00010893"/>
    <w:rsid w:val="000109C3"/>
    <w:rsid w:val="00011C28"/>
    <w:rsid w:val="000123C1"/>
    <w:rsid w:val="00012C3A"/>
    <w:rsid w:val="000131B3"/>
    <w:rsid w:val="000134FE"/>
    <w:rsid w:val="00013DB7"/>
    <w:rsid w:val="00015B4E"/>
    <w:rsid w:val="00015F24"/>
    <w:rsid w:val="000162ED"/>
    <w:rsid w:val="000166FC"/>
    <w:rsid w:val="0001713E"/>
    <w:rsid w:val="00020684"/>
    <w:rsid w:val="0002071A"/>
    <w:rsid w:val="00020791"/>
    <w:rsid w:val="00020AA6"/>
    <w:rsid w:val="00022573"/>
    <w:rsid w:val="00022CBA"/>
    <w:rsid w:val="000234D8"/>
    <w:rsid w:val="00023846"/>
    <w:rsid w:val="00023E02"/>
    <w:rsid w:val="00023FAB"/>
    <w:rsid w:val="00024077"/>
    <w:rsid w:val="00024257"/>
    <w:rsid w:val="00024B66"/>
    <w:rsid w:val="00025708"/>
    <w:rsid w:val="0002587E"/>
    <w:rsid w:val="00025928"/>
    <w:rsid w:val="00025950"/>
    <w:rsid w:val="000263FB"/>
    <w:rsid w:val="00026744"/>
    <w:rsid w:val="0002686C"/>
    <w:rsid w:val="00027221"/>
    <w:rsid w:val="000275AF"/>
    <w:rsid w:val="00030B55"/>
    <w:rsid w:val="00030D05"/>
    <w:rsid w:val="00030D9D"/>
    <w:rsid w:val="00031B99"/>
    <w:rsid w:val="00031FE2"/>
    <w:rsid w:val="00032491"/>
    <w:rsid w:val="00033002"/>
    <w:rsid w:val="00033996"/>
    <w:rsid w:val="00033C68"/>
    <w:rsid w:val="00034447"/>
    <w:rsid w:val="000346E5"/>
    <w:rsid w:val="00034A1F"/>
    <w:rsid w:val="00034BE8"/>
    <w:rsid w:val="00034E4E"/>
    <w:rsid w:val="0003518A"/>
    <w:rsid w:val="0003557A"/>
    <w:rsid w:val="00035602"/>
    <w:rsid w:val="0003560B"/>
    <w:rsid w:val="0003608B"/>
    <w:rsid w:val="00037388"/>
    <w:rsid w:val="00037765"/>
    <w:rsid w:val="000377F8"/>
    <w:rsid w:val="000378AE"/>
    <w:rsid w:val="00037C9C"/>
    <w:rsid w:val="00037CC1"/>
    <w:rsid w:val="000407F8"/>
    <w:rsid w:val="00040CDC"/>
    <w:rsid w:val="00041255"/>
    <w:rsid w:val="00041442"/>
    <w:rsid w:val="0004165D"/>
    <w:rsid w:val="00041A4F"/>
    <w:rsid w:val="00041F6C"/>
    <w:rsid w:val="00042448"/>
    <w:rsid w:val="000426FF"/>
    <w:rsid w:val="00042775"/>
    <w:rsid w:val="00042C21"/>
    <w:rsid w:val="00043839"/>
    <w:rsid w:val="00043FD2"/>
    <w:rsid w:val="00044223"/>
    <w:rsid w:val="00044268"/>
    <w:rsid w:val="0004440D"/>
    <w:rsid w:val="00046986"/>
    <w:rsid w:val="0004699D"/>
    <w:rsid w:val="00050019"/>
    <w:rsid w:val="000506FF"/>
    <w:rsid w:val="000509FF"/>
    <w:rsid w:val="00050A3C"/>
    <w:rsid w:val="00050E2E"/>
    <w:rsid w:val="00051560"/>
    <w:rsid w:val="00051B2C"/>
    <w:rsid w:val="000522D2"/>
    <w:rsid w:val="00052E12"/>
    <w:rsid w:val="00053751"/>
    <w:rsid w:val="00053CC2"/>
    <w:rsid w:val="00054005"/>
    <w:rsid w:val="00054813"/>
    <w:rsid w:val="00054E73"/>
    <w:rsid w:val="00054EFB"/>
    <w:rsid w:val="00055619"/>
    <w:rsid w:val="0005573C"/>
    <w:rsid w:val="00055C83"/>
    <w:rsid w:val="000561D7"/>
    <w:rsid w:val="0005623F"/>
    <w:rsid w:val="00056632"/>
    <w:rsid w:val="00056853"/>
    <w:rsid w:val="00056D4D"/>
    <w:rsid w:val="000570DF"/>
    <w:rsid w:val="00057500"/>
    <w:rsid w:val="00057B79"/>
    <w:rsid w:val="00060874"/>
    <w:rsid w:val="0006092E"/>
    <w:rsid w:val="00060E7E"/>
    <w:rsid w:val="00061AC6"/>
    <w:rsid w:val="00061AF5"/>
    <w:rsid w:val="00061E1D"/>
    <w:rsid w:val="0006278D"/>
    <w:rsid w:val="00063EBA"/>
    <w:rsid w:val="0006404F"/>
    <w:rsid w:val="0006443C"/>
    <w:rsid w:val="0006499E"/>
    <w:rsid w:val="00064C3E"/>
    <w:rsid w:val="00064CCC"/>
    <w:rsid w:val="0006559B"/>
    <w:rsid w:val="000660D7"/>
    <w:rsid w:val="0006648C"/>
    <w:rsid w:val="0006661E"/>
    <w:rsid w:val="00066730"/>
    <w:rsid w:val="00066C06"/>
    <w:rsid w:val="000672C0"/>
    <w:rsid w:val="0006732C"/>
    <w:rsid w:val="00067D81"/>
    <w:rsid w:val="00067D84"/>
    <w:rsid w:val="00070361"/>
    <w:rsid w:val="00070D6F"/>
    <w:rsid w:val="00070F12"/>
    <w:rsid w:val="0007169D"/>
    <w:rsid w:val="00071E91"/>
    <w:rsid w:val="00072925"/>
    <w:rsid w:val="00072A88"/>
    <w:rsid w:val="00072E74"/>
    <w:rsid w:val="000736C2"/>
    <w:rsid w:val="00074534"/>
    <w:rsid w:val="00074687"/>
    <w:rsid w:val="00074A79"/>
    <w:rsid w:val="000755AC"/>
    <w:rsid w:val="00075756"/>
    <w:rsid w:val="000759E2"/>
    <w:rsid w:val="00075B67"/>
    <w:rsid w:val="00075C7E"/>
    <w:rsid w:val="00075C83"/>
    <w:rsid w:val="00075CA3"/>
    <w:rsid w:val="000761BA"/>
    <w:rsid w:val="00076FDD"/>
    <w:rsid w:val="00077484"/>
    <w:rsid w:val="0007772B"/>
    <w:rsid w:val="00077CC6"/>
    <w:rsid w:val="000800CA"/>
    <w:rsid w:val="0008059D"/>
    <w:rsid w:val="000819D0"/>
    <w:rsid w:val="00081A60"/>
    <w:rsid w:val="00082583"/>
    <w:rsid w:val="000826CA"/>
    <w:rsid w:val="00082C46"/>
    <w:rsid w:val="00082FE6"/>
    <w:rsid w:val="00084615"/>
    <w:rsid w:val="0008474A"/>
    <w:rsid w:val="00084CD8"/>
    <w:rsid w:val="000859A7"/>
    <w:rsid w:val="00085D80"/>
    <w:rsid w:val="00086759"/>
    <w:rsid w:val="00086A4A"/>
    <w:rsid w:val="00086B3D"/>
    <w:rsid w:val="00087066"/>
    <w:rsid w:val="000870A4"/>
    <w:rsid w:val="0008730B"/>
    <w:rsid w:val="00087316"/>
    <w:rsid w:val="00087982"/>
    <w:rsid w:val="00087EA7"/>
    <w:rsid w:val="0009049E"/>
    <w:rsid w:val="00090AE3"/>
    <w:rsid w:val="00090B8A"/>
    <w:rsid w:val="00091501"/>
    <w:rsid w:val="000917FD"/>
    <w:rsid w:val="000918E3"/>
    <w:rsid w:val="000919BB"/>
    <w:rsid w:val="000931A6"/>
    <w:rsid w:val="00094307"/>
    <w:rsid w:val="00094D28"/>
    <w:rsid w:val="000959FC"/>
    <w:rsid w:val="00095AC2"/>
    <w:rsid w:val="0009660C"/>
    <w:rsid w:val="000966C1"/>
    <w:rsid w:val="000977F4"/>
    <w:rsid w:val="00097BD7"/>
    <w:rsid w:val="00097F1E"/>
    <w:rsid w:val="000A0078"/>
    <w:rsid w:val="000A0C67"/>
    <w:rsid w:val="000A1A9F"/>
    <w:rsid w:val="000A1D26"/>
    <w:rsid w:val="000A1DB3"/>
    <w:rsid w:val="000A2F42"/>
    <w:rsid w:val="000A32B9"/>
    <w:rsid w:val="000A32BC"/>
    <w:rsid w:val="000A3A32"/>
    <w:rsid w:val="000A403B"/>
    <w:rsid w:val="000A4CA9"/>
    <w:rsid w:val="000A6487"/>
    <w:rsid w:val="000A7B77"/>
    <w:rsid w:val="000B0257"/>
    <w:rsid w:val="000B0ABB"/>
    <w:rsid w:val="000B0B05"/>
    <w:rsid w:val="000B0C23"/>
    <w:rsid w:val="000B0CE3"/>
    <w:rsid w:val="000B279C"/>
    <w:rsid w:val="000B2823"/>
    <w:rsid w:val="000B2A0B"/>
    <w:rsid w:val="000B3FB5"/>
    <w:rsid w:val="000B4705"/>
    <w:rsid w:val="000B4BDB"/>
    <w:rsid w:val="000B4FAE"/>
    <w:rsid w:val="000B5499"/>
    <w:rsid w:val="000B5775"/>
    <w:rsid w:val="000B5891"/>
    <w:rsid w:val="000B60D0"/>
    <w:rsid w:val="000B623A"/>
    <w:rsid w:val="000B62A7"/>
    <w:rsid w:val="000B6A1A"/>
    <w:rsid w:val="000B6F8C"/>
    <w:rsid w:val="000B7DB3"/>
    <w:rsid w:val="000C09A1"/>
    <w:rsid w:val="000C109D"/>
    <w:rsid w:val="000C1470"/>
    <w:rsid w:val="000C20D1"/>
    <w:rsid w:val="000C28CC"/>
    <w:rsid w:val="000C2C5C"/>
    <w:rsid w:val="000C3325"/>
    <w:rsid w:val="000C434E"/>
    <w:rsid w:val="000C439C"/>
    <w:rsid w:val="000C50C5"/>
    <w:rsid w:val="000C53D8"/>
    <w:rsid w:val="000C5B49"/>
    <w:rsid w:val="000C65E2"/>
    <w:rsid w:val="000C68BE"/>
    <w:rsid w:val="000C68BF"/>
    <w:rsid w:val="000C6C60"/>
    <w:rsid w:val="000C7236"/>
    <w:rsid w:val="000C759D"/>
    <w:rsid w:val="000D003E"/>
    <w:rsid w:val="000D1059"/>
    <w:rsid w:val="000D1D86"/>
    <w:rsid w:val="000D1F75"/>
    <w:rsid w:val="000D2DC1"/>
    <w:rsid w:val="000D37F6"/>
    <w:rsid w:val="000D3CB5"/>
    <w:rsid w:val="000D3EF3"/>
    <w:rsid w:val="000D48F0"/>
    <w:rsid w:val="000D4D45"/>
    <w:rsid w:val="000D4DEA"/>
    <w:rsid w:val="000D5935"/>
    <w:rsid w:val="000D5B03"/>
    <w:rsid w:val="000D5E63"/>
    <w:rsid w:val="000D7163"/>
    <w:rsid w:val="000D78D2"/>
    <w:rsid w:val="000D7D57"/>
    <w:rsid w:val="000DDE40"/>
    <w:rsid w:val="000E119F"/>
    <w:rsid w:val="000E1B9E"/>
    <w:rsid w:val="000E20F5"/>
    <w:rsid w:val="000E232D"/>
    <w:rsid w:val="000E262D"/>
    <w:rsid w:val="000E30CC"/>
    <w:rsid w:val="000E3380"/>
    <w:rsid w:val="000E3BC0"/>
    <w:rsid w:val="000E418F"/>
    <w:rsid w:val="000E513D"/>
    <w:rsid w:val="000E5B7C"/>
    <w:rsid w:val="000E5D06"/>
    <w:rsid w:val="000E60D9"/>
    <w:rsid w:val="000E62E7"/>
    <w:rsid w:val="000E704B"/>
    <w:rsid w:val="000E741F"/>
    <w:rsid w:val="000E7CF5"/>
    <w:rsid w:val="000F0328"/>
    <w:rsid w:val="000F0DBE"/>
    <w:rsid w:val="000F1456"/>
    <w:rsid w:val="000F1640"/>
    <w:rsid w:val="000F1919"/>
    <w:rsid w:val="000F1E4E"/>
    <w:rsid w:val="000F241F"/>
    <w:rsid w:val="000F3882"/>
    <w:rsid w:val="000F4330"/>
    <w:rsid w:val="000F4FC4"/>
    <w:rsid w:val="000F54DF"/>
    <w:rsid w:val="000F5B99"/>
    <w:rsid w:val="000F65E4"/>
    <w:rsid w:val="000F7718"/>
    <w:rsid w:val="000F7C55"/>
    <w:rsid w:val="000F7D0F"/>
    <w:rsid w:val="000F7E28"/>
    <w:rsid w:val="00100282"/>
    <w:rsid w:val="0010133D"/>
    <w:rsid w:val="0010159D"/>
    <w:rsid w:val="001017AB"/>
    <w:rsid w:val="001019C5"/>
    <w:rsid w:val="00101C4D"/>
    <w:rsid w:val="00102079"/>
    <w:rsid w:val="001039C6"/>
    <w:rsid w:val="00104A2F"/>
    <w:rsid w:val="00105D75"/>
    <w:rsid w:val="001067A0"/>
    <w:rsid w:val="00106FC9"/>
    <w:rsid w:val="00110301"/>
    <w:rsid w:val="0011090C"/>
    <w:rsid w:val="00110AF8"/>
    <w:rsid w:val="001110A3"/>
    <w:rsid w:val="001116BC"/>
    <w:rsid w:val="00111823"/>
    <w:rsid w:val="001119DD"/>
    <w:rsid w:val="00112176"/>
    <w:rsid w:val="00112626"/>
    <w:rsid w:val="0011276A"/>
    <w:rsid w:val="001128D2"/>
    <w:rsid w:val="00112D5D"/>
    <w:rsid w:val="00112E51"/>
    <w:rsid w:val="00113531"/>
    <w:rsid w:val="00113A0F"/>
    <w:rsid w:val="00114332"/>
    <w:rsid w:val="00114CB2"/>
    <w:rsid w:val="00114FBA"/>
    <w:rsid w:val="00115702"/>
    <w:rsid w:val="00115E93"/>
    <w:rsid w:val="0011605A"/>
    <w:rsid w:val="00116591"/>
    <w:rsid w:val="00117D82"/>
    <w:rsid w:val="0012143F"/>
    <w:rsid w:val="00122492"/>
    <w:rsid w:val="001226F5"/>
    <w:rsid w:val="00122A14"/>
    <w:rsid w:val="00122B14"/>
    <w:rsid w:val="00122D08"/>
    <w:rsid w:val="0012356A"/>
    <w:rsid w:val="00123C3A"/>
    <w:rsid w:val="00124251"/>
    <w:rsid w:val="00124322"/>
    <w:rsid w:val="00124457"/>
    <w:rsid w:val="00124E6C"/>
    <w:rsid w:val="00125697"/>
    <w:rsid w:val="0012579A"/>
    <w:rsid w:val="0012651F"/>
    <w:rsid w:val="00126527"/>
    <w:rsid w:val="0012654D"/>
    <w:rsid w:val="00126AC1"/>
    <w:rsid w:val="00126D8F"/>
    <w:rsid w:val="00127779"/>
    <w:rsid w:val="001300E0"/>
    <w:rsid w:val="0013072A"/>
    <w:rsid w:val="00130983"/>
    <w:rsid w:val="001310C0"/>
    <w:rsid w:val="0013174F"/>
    <w:rsid w:val="001319D1"/>
    <w:rsid w:val="0013221E"/>
    <w:rsid w:val="0013222F"/>
    <w:rsid w:val="0013237F"/>
    <w:rsid w:val="0013248F"/>
    <w:rsid w:val="00132A5E"/>
    <w:rsid w:val="0013312D"/>
    <w:rsid w:val="001344A3"/>
    <w:rsid w:val="00134649"/>
    <w:rsid w:val="001358F3"/>
    <w:rsid w:val="00136B6D"/>
    <w:rsid w:val="001379C7"/>
    <w:rsid w:val="00137CA5"/>
    <w:rsid w:val="00137D41"/>
    <w:rsid w:val="0014037C"/>
    <w:rsid w:val="001404EA"/>
    <w:rsid w:val="00140834"/>
    <w:rsid w:val="001409FC"/>
    <w:rsid w:val="00140E7F"/>
    <w:rsid w:val="001410FB"/>
    <w:rsid w:val="001412F3"/>
    <w:rsid w:val="0014191C"/>
    <w:rsid w:val="001422A8"/>
    <w:rsid w:val="0014276C"/>
    <w:rsid w:val="00142A13"/>
    <w:rsid w:val="00143FA6"/>
    <w:rsid w:val="00144269"/>
    <w:rsid w:val="00144771"/>
    <w:rsid w:val="00147F50"/>
    <w:rsid w:val="001500C8"/>
    <w:rsid w:val="00151363"/>
    <w:rsid w:val="001522CA"/>
    <w:rsid w:val="001522FF"/>
    <w:rsid w:val="001525A2"/>
    <w:rsid w:val="00152B54"/>
    <w:rsid w:val="00153B61"/>
    <w:rsid w:val="00153BF3"/>
    <w:rsid w:val="0015427B"/>
    <w:rsid w:val="001542A2"/>
    <w:rsid w:val="00154344"/>
    <w:rsid w:val="001547D6"/>
    <w:rsid w:val="00154C59"/>
    <w:rsid w:val="0015562F"/>
    <w:rsid w:val="00155965"/>
    <w:rsid w:val="00155A02"/>
    <w:rsid w:val="00155B21"/>
    <w:rsid w:val="00157070"/>
    <w:rsid w:val="00157520"/>
    <w:rsid w:val="001576E3"/>
    <w:rsid w:val="001602C3"/>
    <w:rsid w:val="001615DC"/>
    <w:rsid w:val="001619D9"/>
    <w:rsid w:val="0016231C"/>
    <w:rsid w:val="00162535"/>
    <w:rsid w:val="00162C12"/>
    <w:rsid w:val="00164D1F"/>
    <w:rsid w:val="00165015"/>
    <w:rsid w:val="00165A73"/>
    <w:rsid w:val="00165BD1"/>
    <w:rsid w:val="00165C49"/>
    <w:rsid w:val="00165EEB"/>
    <w:rsid w:val="0016609E"/>
    <w:rsid w:val="001665F1"/>
    <w:rsid w:val="00167B8E"/>
    <w:rsid w:val="00167F99"/>
    <w:rsid w:val="00170016"/>
    <w:rsid w:val="001703A3"/>
    <w:rsid w:val="001703E2"/>
    <w:rsid w:val="00170EF8"/>
    <w:rsid w:val="00172021"/>
    <w:rsid w:val="0017351A"/>
    <w:rsid w:val="0017353E"/>
    <w:rsid w:val="00173954"/>
    <w:rsid w:val="00173EF6"/>
    <w:rsid w:val="00174BB6"/>
    <w:rsid w:val="00175089"/>
    <w:rsid w:val="00175617"/>
    <w:rsid w:val="00175C2A"/>
    <w:rsid w:val="0017631E"/>
    <w:rsid w:val="001767D5"/>
    <w:rsid w:val="00176FF5"/>
    <w:rsid w:val="0017708E"/>
    <w:rsid w:val="0017780F"/>
    <w:rsid w:val="0018022E"/>
    <w:rsid w:val="001806C1"/>
    <w:rsid w:val="00180BA2"/>
    <w:rsid w:val="00180BE5"/>
    <w:rsid w:val="00181127"/>
    <w:rsid w:val="0018137B"/>
    <w:rsid w:val="00182E0C"/>
    <w:rsid w:val="00182E72"/>
    <w:rsid w:val="00183742"/>
    <w:rsid w:val="00183960"/>
    <w:rsid w:val="00183EC6"/>
    <w:rsid w:val="001841CC"/>
    <w:rsid w:val="00184599"/>
    <w:rsid w:val="00184F91"/>
    <w:rsid w:val="001852FE"/>
    <w:rsid w:val="00185878"/>
    <w:rsid w:val="0018589A"/>
    <w:rsid w:val="001873F4"/>
    <w:rsid w:val="001876C1"/>
    <w:rsid w:val="00187A5A"/>
    <w:rsid w:val="00187F88"/>
    <w:rsid w:val="001901D6"/>
    <w:rsid w:val="0019039E"/>
    <w:rsid w:val="00190638"/>
    <w:rsid w:val="00190E97"/>
    <w:rsid w:val="001910CF"/>
    <w:rsid w:val="0019112B"/>
    <w:rsid w:val="00191D17"/>
    <w:rsid w:val="00191D49"/>
    <w:rsid w:val="001925A8"/>
    <w:rsid w:val="00192C76"/>
    <w:rsid w:val="00193A51"/>
    <w:rsid w:val="00193A6E"/>
    <w:rsid w:val="00194A70"/>
    <w:rsid w:val="00195257"/>
    <w:rsid w:val="001954F5"/>
    <w:rsid w:val="00195F0C"/>
    <w:rsid w:val="00196E4B"/>
    <w:rsid w:val="0019708B"/>
    <w:rsid w:val="00197245"/>
    <w:rsid w:val="00197627"/>
    <w:rsid w:val="00197805"/>
    <w:rsid w:val="001A0C21"/>
    <w:rsid w:val="001A0E22"/>
    <w:rsid w:val="001A1C78"/>
    <w:rsid w:val="001A2128"/>
    <w:rsid w:val="001A2265"/>
    <w:rsid w:val="001A2998"/>
    <w:rsid w:val="001A29C7"/>
    <w:rsid w:val="001A2C03"/>
    <w:rsid w:val="001A2DD7"/>
    <w:rsid w:val="001A2FCA"/>
    <w:rsid w:val="001A3634"/>
    <w:rsid w:val="001A3BC4"/>
    <w:rsid w:val="001A41C2"/>
    <w:rsid w:val="001A4252"/>
    <w:rsid w:val="001A43EF"/>
    <w:rsid w:val="001A488D"/>
    <w:rsid w:val="001A4C50"/>
    <w:rsid w:val="001A4DFA"/>
    <w:rsid w:val="001A5918"/>
    <w:rsid w:val="001A5A95"/>
    <w:rsid w:val="001A6135"/>
    <w:rsid w:val="001A62A0"/>
    <w:rsid w:val="001A741E"/>
    <w:rsid w:val="001A7829"/>
    <w:rsid w:val="001A7EE0"/>
    <w:rsid w:val="001B009A"/>
    <w:rsid w:val="001B0543"/>
    <w:rsid w:val="001B09FE"/>
    <w:rsid w:val="001B0D7A"/>
    <w:rsid w:val="001B0E35"/>
    <w:rsid w:val="001B10DF"/>
    <w:rsid w:val="001B121E"/>
    <w:rsid w:val="001B15D1"/>
    <w:rsid w:val="001B1F77"/>
    <w:rsid w:val="001B23BC"/>
    <w:rsid w:val="001B3272"/>
    <w:rsid w:val="001B4214"/>
    <w:rsid w:val="001B4E69"/>
    <w:rsid w:val="001B4F0A"/>
    <w:rsid w:val="001B69E1"/>
    <w:rsid w:val="001B6A38"/>
    <w:rsid w:val="001C00EC"/>
    <w:rsid w:val="001C09FE"/>
    <w:rsid w:val="001C0FF5"/>
    <w:rsid w:val="001C1788"/>
    <w:rsid w:val="001C1CFE"/>
    <w:rsid w:val="001C1D11"/>
    <w:rsid w:val="001C1E85"/>
    <w:rsid w:val="001C2240"/>
    <w:rsid w:val="001C280F"/>
    <w:rsid w:val="001C3762"/>
    <w:rsid w:val="001C390C"/>
    <w:rsid w:val="001C40C0"/>
    <w:rsid w:val="001C4CB4"/>
    <w:rsid w:val="001C4D3B"/>
    <w:rsid w:val="001C60C8"/>
    <w:rsid w:val="001C6B52"/>
    <w:rsid w:val="001C6D80"/>
    <w:rsid w:val="001C73A8"/>
    <w:rsid w:val="001C7F38"/>
    <w:rsid w:val="001D0185"/>
    <w:rsid w:val="001D06DC"/>
    <w:rsid w:val="001D19BD"/>
    <w:rsid w:val="001D2D01"/>
    <w:rsid w:val="001D3D88"/>
    <w:rsid w:val="001D45E0"/>
    <w:rsid w:val="001D4980"/>
    <w:rsid w:val="001D507A"/>
    <w:rsid w:val="001D54F6"/>
    <w:rsid w:val="001D5B28"/>
    <w:rsid w:val="001D5D69"/>
    <w:rsid w:val="001D682E"/>
    <w:rsid w:val="001D6965"/>
    <w:rsid w:val="001D6D31"/>
    <w:rsid w:val="001D7A39"/>
    <w:rsid w:val="001D7AA0"/>
    <w:rsid w:val="001D7EBC"/>
    <w:rsid w:val="001E0307"/>
    <w:rsid w:val="001E18E3"/>
    <w:rsid w:val="001E2B71"/>
    <w:rsid w:val="001E46F3"/>
    <w:rsid w:val="001E4BD1"/>
    <w:rsid w:val="001E4D06"/>
    <w:rsid w:val="001E5173"/>
    <w:rsid w:val="001E5AD9"/>
    <w:rsid w:val="001E6A2B"/>
    <w:rsid w:val="001E6A39"/>
    <w:rsid w:val="001F004E"/>
    <w:rsid w:val="001F034C"/>
    <w:rsid w:val="001F0437"/>
    <w:rsid w:val="001F0C5F"/>
    <w:rsid w:val="001F11D2"/>
    <w:rsid w:val="001F1261"/>
    <w:rsid w:val="001F1619"/>
    <w:rsid w:val="001F1B22"/>
    <w:rsid w:val="001F1C3C"/>
    <w:rsid w:val="001F1DB5"/>
    <w:rsid w:val="001F21A4"/>
    <w:rsid w:val="001F24D5"/>
    <w:rsid w:val="001F2AD0"/>
    <w:rsid w:val="001F3940"/>
    <w:rsid w:val="001F4246"/>
    <w:rsid w:val="001F471A"/>
    <w:rsid w:val="001F4F98"/>
    <w:rsid w:val="001F5767"/>
    <w:rsid w:val="001F57F6"/>
    <w:rsid w:val="001F5F7E"/>
    <w:rsid w:val="001F6286"/>
    <w:rsid w:val="001F64D1"/>
    <w:rsid w:val="001F6748"/>
    <w:rsid w:val="001F6826"/>
    <w:rsid w:val="001F6D26"/>
    <w:rsid w:val="001F74E0"/>
    <w:rsid w:val="001F7948"/>
    <w:rsid w:val="00201700"/>
    <w:rsid w:val="00201E54"/>
    <w:rsid w:val="002020A8"/>
    <w:rsid w:val="00202618"/>
    <w:rsid w:val="00202628"/>
    <w:rsid w:val="002026E0"/>
    <w:rsid w:val="00202AB9"/>
    <w:rsid w:val="00202D2B"/>
    <w:rsid w:val="002042D3"/>
    <w:rsid w:val="0020465D"/>
    <w:rsid w:val="002048FB"/>
    <w:rsid w:val="00204B6E"/>
    <w:rsid w:val="002051FE"/>
    <w:rsid w:val="00205215"/>
    <w:rsid w:val="002052C6"/>
    <w:rsid w:val="00206842"/>
    <w:rsid w:val="002068B6"/>
    <w:rsid w:val="002073C2"/>
    <w:rsid w:val="0020765C"/>
    <w:rsid w:val="0021028F"/>
    <w:rsid w:val="00211E9E"/>
    <w:rsid w:val="00212008"/>
    <w:rsid w:val="002120FB"/>
    <w:rsid w:val="002125EC"/>
    <w:rsid w:val="00212F9E"/>
    <w:rsid w:val="002140E8"/>
    <w:rsid w:val="00215158"/>
    <w:rsid w:val="00215817"/>
    <w:rsid w:val="0021592F"/>
    <w:rsid w:val="00215B7C"/>
    <w:rsid w:val="00216277"/>
    <w:rsid w:val="00216395"/>
    <w:rsid w:val="00217EE5"/>
    <w:rsid w:val="00220670"/>
    <w:rsid w:val="0022074D"/>
    <w:rsid w:val="00220A39"/>
    <w:rsid w:val="00220D5E"/>
    <w:rsid w:val="002213CB"/>
    <w:rsid w:val="00221454"/>
    <w:rsid w:val="00221FCF"/>
    <w:rsid w:val="00222567"/>
    <w:rsid w:val="002233E0"/>
    <w:rsid w:val="00223955"/>
    <w:rsid w:val="00223AE4"/>
    <w:rsid w:val="002249D8"/>
    <w:rsid w:val="0022515E"/>
    <w:rsid w:val="002251A2"/>
    <w:rsid w:val="0022551D"/>
    <w:rsid w:val="00227476"/>
    <w:rsid w:val="00227C1A"/>
    <w:rsid w:val="0023092A"/>
    <w:rsid w:val="00231D3E"/>
    <w:rsid w:val="00232304"/>
    <w:rsid w:val="00232C42"/>
    <w:rsid w:val="0023365A"/>
    <w:rsid w:val="00233775"/>
    <w:rsid w:val="0023378E"/>
    <w:rsid w:val="0023395D"/>
    <w:rsid w:val="00233F8F"/>
    <w:rsid w:val="00234866"/>
    <w:rsid w:val="00234C13"/>
    <w:rsid w:val="00235097"/>
    <w:rsid w:val="002351DB"/>
    <w:rsid w:val="00235613"/>
    <w:rsid w:val="0023562A"/>
    <w:rsid w:val="00235712"/>
    <w:rsid w:val="00235D71"/>
    <w:rsid w:val="00235DD1"/>
    <w:rsid w:val="00236D20"/>
    <w:rsid w:val="0023709F"/>
    <w:rsid w:val="00237169"/>
    <w:rsid w:val="002375F9"/>
    <w:rsid w:val="00237A31"/>
    <w:rsid w:val="00237DD7"/>
    <w:rsid w:val="00237FF0"/>
    <w:rsid w:val="002413BB"/>
    <w:rsid w:val="00241D8B"/>
    <w:rsid w:val="002421C3"/>
    <w:rsid w:val="00242A70"/>
    <w:rsid w:val="00242EA4"/>
    <w:rsid w:val="002445DD"/>
    <w:rsid w:val="00244651"/>
    <w:rsid w:val="00245995"/>
    <w:rsid w:val="00245EBA"/>
    <w:rsid w:val="00246008"/>
    <w:rsid w:val="00246ACD"/>
    <w:rsid w:val="00247125"/>
    <w:rsid w:val="0024CC35"/>
    <w:rsid w:val="00250318"/>
    <w:rsid w:val="002505EF"/>
    <w:rsid w:val="002506EE"/>
    <w:rsid w:val="002506FA"/>
    <w:rsid w:val="002514A9"/>
    <w:rsid w:val="00251CD1"/>
    <w:rsid w:val="00252633"/>
    <w:rsid w:val="002527CE"/>
    <w:rsid w:val="00252AD8"/>
    <w:rsid w:val="002530AF"/>
    <w:rsid w:val="00253528"/>
    <w:rsid w:val="002538DF"/>
    <w:rsid w:val="00254335"/>
    <w:rsid w:val="0025461C"/>
    <w:rsid w:val="00254B59"/>
    <w:rsid w:val="00254B63"/>
    <w:rsid w:val="002558AA"/>
    <w:rsid w:val="00260744"/>
    <w:rsid w:val="0026093D"/>
    <w:rsid w:val="0026188D"/>
    <w:rsid w:val="0026251F"/>
    <w:rsid w:val="00262806"/>
    <w:rsid w:val="00262D4C"/>
    <w:rsid w:val="00262E19"/>
    <w:rsid w:val="00262EBE"/>
    <w:rsid w:val="002631F7"/>
    <w:rsid w:val="0026352D"/>
    <w:rsid w:val="00264216"/>
    <w:rsid w:val="00264865"/>
    <w:rsid w:val="002648B6"/>
    <w:rsid w:val="0026527F"/>
    <w:rsid w:val="00265D37"/>
    <w:rsid w:val="00267902"/>
    <w:rsid w:val="00267D97"/>
    <w:rsid w:val="002705D2"/>
    <w:rsid w:val="00270CDA"/>
    <w:rsid w:val="0027101E"/>
    <w:rsid w:val="002710B3"/>
    <w:rsid w:val="002714FA"/>
    <w:rsid w:val="0027224D"/>
    <w:rsid w:val="0027245C"/>
    <w:rsid w:val="00272AEC"/>
    <w:rsid w:val="00273572"/>
    <w:rsid w:val="0027376C"/>
    <w:rsid w:val="00273EC3"/>
    <w:rsid w:val="002743B0"/>
    <w:rsid w:val="002748F7"/>
    <w:rsid w:val="00274B65"/>
    <w:rsid w:val="00275BB5"/>
    <w:rsid w:val="00275D0B"/>
    <w:rsid w:val="00275E9E"/>
    <w:rsid w:val="00275EBC"/>
    <w:rsid w:val="00276150"/>
    <w:rsid w:val="00277904"/>
    <w:rsid w:val="00277EC7"/>
    <w:rsid w:val="00277F41"/>
    <w:rsid w:val="00280F10"/>
    <w:rsid w:val="00281BF9"/>
    <w:rsid w:val="00283457"/>
    <w:rsid w:val="00283B15"/>
    <w:rsid w:val="002848B4"/>
    <w:rsid w:val="00284E24"/>
    <w:rsid w:val="00285543"/>
    <w:rsid w:val="002861C9"/>
    <w:rsid w:val="00286237"/>
    <w:rsid w:val="002873E5"/>
    <w:rsid w:val="002875D6"/>
    <w:rsid w:val="00287713"/>
    <w:rsid w:val="00287C5C"/>
    <w:rsid w:val="0029087B"/>
    <w:rsid w:val="002915BF"/>
    <w:rsid w:val="0029183B"/>
    <w:rsid w:val="00292634"/>
    <w:rsid w:val="00292BA6"/>
    <w:rsid w:val="00292C19"/>
    <w:rsid w:val="00292E2E"/>
    <w:rsid w:val="00293013"/>
    <w:rsid w:val="00293E7C"/>
    <w:rsid w:val="0029433B"/>
    <w:rsid w:val="002947BE"/>
    <w:rsid w:val="00294A39"/>
    <w:rsid w:val="00294C17"/>
    <w:rsid w:val="00294DD1"/>
    <w:rsid w:val="00295756"/>
    <w:rsid w:val="002959F6"/>
    <w:rsid w:val="00296269"/>
    <w:rsid w:val="00296510"/>
    <w:rsid w:val="002966BA"/>
    <w:rsid w:val="002968A4"/>
    <w:rsid w:val="00297504"/>
    <w:rsid w:val="00297A64"/>
    <w:rsid w:val="002A05B2"/>
    <w:rsid w:val="002A05EF"/>
    <w:rsid w:val="002A0AF1"/>
    <w:rsid w:val="002A1985"/>
    <w:rsid w:val="002A2DFA"/>
    <w:rsid w:val="002A3133"/>
    <w:rsid w:val="002A3630"/>
    <w:rsid w:val="002A3DE1"/>
    <w:rsid w:val="002A3E76"/>
    <w:rsid w:val="002A4184"/>
    <w:rsid w:val="002A42A7"/>
    <w:rsid w:val="002A50E2"/>
    <w:rsid w:val="002A5301"/>
    <w:rsid w:val="002A54E8"/>
    <w:rsid w:val="002A5769"/>
    <w:rsid w:val="002A58DB"/>
    <w:rsid w:val="002A58F9"/>
    <w:rsid w:val="002A640B"/>
    <w:rsid w:val="002A72FB"/>
    <w:rsid w:val="002A7416"/>
    <w:rsid w:val="002A747E"/>
    <w:rsid w:val="002A783D"/>
    <w:rsid w:val="002A7C69"/>
    <w:rsid w:val="002A7CD9"/>
    <w:rsid w:val="002B025B"/>
    <w:rsid w:val="002B0709"/>
    <w:rsid w:val="002B0914"/>
    <w:rsid w:val="002B0BC7"/>
    <w:rsid w:val="002B0D56"/>
    <w:rsid w:val="002B0E91"/>
    <w:rsid w:val="002B2271"/>
    <w:rsid w:val="002B2482"/>
    <w:rsid w:val="002B36A3"/>
    <w:rsid w:val="002B386E"/>
    <w:rsid w:val="002B4098"/>
    <w:rsid w:val="002B4790"/>
    <w:rsid w:val="002B498D"/>
    <w:rsid w:val="002B524F"/>
    <w:rsid w:val="002B5769"/>
    <w:rsid w:val="002B59C8"/>
    <w:rsid w:val="002B62B1"/>
    <w:rsid w:val="002B62C3"/>
    <w:rsid w:val="002B66B9"/>
    <w:rsid w:val="002B6964"/>
    <w:rsid w:val="002B6C75"/>
    <w:rsid w:val="002B6F8F"/>
    <w:rsid w:val="002B7020"/>
    <w:rsid w:val="002B766D"/>
    <w:rsid w:val="002C01F9"/>
    <w:rsid w:val="002C044B"/>
    <w:rsid w:val="002C0CBB"/>
    <w:rsid w:val="002C0F50"/>
    <w:rsid w:val="002C17BE"/>
    <w:rsid w:val="002C276E"/>
    <w:rsid w:val="002C449E"/>
    <w:rsid w:val="002C490E"/>
    <w:rsid w:val="002C4BFC"/>
    <w:rsid w:val="002C6242"/>
    <w:rsid w:val="002C6B55"/>
    <w:rsid w:val="002C71EE"/>
    <w:rsid w:val="002C7614"/>
    <w:rsid w:val="002C7886"/>
    <w:rsid w:val="002C79AD"/>
    <w:rsid w:val="002C7B4F"/>
    <w:rsid w:val="002D050C"/>
    <w:rsid w:val="002D0A1F"/>
    <w:rsid w:val="002D0EE0"/>
    <w:rsid w:val="002D1049"/>
    <w:rsid w:val="002D1186"/>
    <w:rsid w:val="002D14FC"/>
    <w:rsid w:val="002D1585"/>
    <w:rsid w:val="002D2131"/>
    <w:rsid w:val="002D2568"/>
    <w:rsid w:val="002D418A"/>
    <w:rsid w:val="002D4231"/>
    <w:rsid w:val="002D42C9"/>
    <w:rsid w:val="002D43FD"/>
    <w:rsid w:val="002D4A04"/>
    <w:rsid w:val="002D4F20"/>
    <w:rsid w:val="002D5002"/>
    <w:rsid w:val="002D53BC"/>
    <w:rsid w:val="002D5F56"/>
    <w:rsid w:val="002D653D"/>
    <w:rsid w:val="002D653F"/>
    <w:rsid w:val="002D7D3B"/>
    <w:rsid w:val="002E092A"/>
    <w:rsid w:val="002E1599"/>
    <w:rsid w:val="002E286C"/>
    <w:rsid w:val="002E2BBD"/>
    <w:rsid w:val="002E2C31"/>
    <w:rsid w:val="002E33ED"/>
    <w:rsid w:val="002E384B"/>
    <w:rsid w:val="002E3AF8"/>
    <w:rsid w:val="002E3B33"/>
    <w:rsid w:val="002E41EE"/>
    <w:rsid w:val="002E50E8"/>
    <w:rsid w:val="002E5336"/>
    <w:rsid w:val="002E597A"/>
    <w:rsid w:val="002E617D"/>
    <w:rsid w:val="002E632A"/>
    <w:rsid w:val="002E6D87"/>
    <w:rsid w:val="002F0D31"/>
    <w:rsid w:val="002F0F12"/>
    <w:rsid w:val="002F189A"/>
    <w:rsid w:val="002F2AEC"/>
    <w:rsid w:val="002F2D7E"/>
    <w:rsid w:val="002F2F33"/>
    <w:rsid w:val="002F31C1"/>
    <w:rsid w:val="002F34BA"/>
    <w:rsid w:val="002F5004"/>
    <w:rsid w:val="002F505C"/>
    <w:rsid w:val="002F5807"/>
    <w:rsid w:val="002F5EB7"/>
    <w:rsid w:val="002F5FB6"/>
    <w:rsid w:val="002F7F9D"/>
    <w:rsid w:val="00300530"/>
    <w:rsid w:val="00300552"/>
    <w:rsid w:val="003006A7"/>
    <w:rsid w:val="00300D93"/>
    <w:rsid w:val="00300E6A"/>
    <w:rsid w:val="003011C0"/>
    <w:rsid w:val="003018F6"/>
    <w:rsid w:val="00301B55"/>
    <w:rsid w:val="00302BAF"/>
    <w:rsid w:val="0030361A"/>
    <w:rsid w:val="00303FF8"/>
    <w:rsid w:val="00304241"/>
    <w:rsid w:val="00304499"/>
    <w:rsid w:val="003044D2"/>
    <w:rsid w:val="003048FD"/>
    <w:rsid w:val="00304BD0"/>
    <w:rsid w:val="00304CE2"/>
    <w:rsid w:val="00304F60"/>
    <w:rsid w:val="00304FAA"/>
    <w:rsid w:val="00305D48"/>
    <w:rsid w:val="003063CE"/>
    <w:rsid w:val="00306515"/>
    <w:rsid w:val="00306616"/>
    <w:rsid w:val="00307411"/>
    <w:rsid w:val="00310756"/>
    <w:rsid w:val="00310F76"/>
    <w:rsid w:val="0031150B"/>
    <w:rsid w:val="003115CA"/>
    <w:rsid w:val="00311872"/>
    <w:rsid w:val="00311B3B"/>
    <w:rsid w:val="0031227E"/>
    <w:rsid w:val="003122C8"/>
    <w:rsid w:val="00312D37"/>
    <w:rsid w:val="00312D66"/>
    <w:rsid w:val="00313258"/>
    <w:rsid w:val="0031328F"/>
    <w:rsid w:val="00313558"/>
    <w:rsid w:val="00313C2F"/>
    <w:rsid w:val="003143A0"/>
    <w:rsid w:val="003145E3"/>
    <w:rsid w:val="00314AC0"/>
    <w:rsid w:val="00314BCF"/>
    <w:rsid w:val="00315398"/>
    <w:rsid w:val="00315C8E"/>
    <w:rsid w:val="00316313"/>
    <w:rsid w:val="00316425"/>
    <w:rsid w:val="003165D3"/>
    <w:rsid w:val="003166B2"/>
    <w:rsid w:val="00317305"/>
    <w:rsid w:val="003177B6"/>
    <w:rsid w:val="003200FB"/>
    <w:rsid w:val="00320495"/>
    <w:rsid w:val="0032049A"/>
    <w:rsid w:val="00320B93"/>
    <w:rsid w:val="00321892"/>
    <w:rsid w:val="00321B0A"/>
    <w:rsid w:val="00322AE2"/>
    <w:rsid w:val="00322B47"/>
    <w:rsid w:val="0032400C"/>
    <w:rsid w:val="003245DB"/>
    <w:rsid w:val="00324BA0"/>
    <w:rsid w:val="00324D99"/>
    <w:rsid w:val="003258E9"/>
    <w:rsid w:val="0032609B"/>
    <w:rsid w:val="00326B86"/>
    <w:rsid w:val="003271DF"/>
    <w:rsid w:val="003273D3"/>
    <w:rsid w:val="00327A36"/>
    <w:rsid w:val="00327B34"/>
    <w:rsid w:val="0033020F"/>
    <w:rsid w:val="0033052D"/>
    <w:rsid w:val="00331054"/>
    <w:rsid w:val="00331BA8"/>
    <w:rsid w:val="0033203B"/>
    <w:rsid w:val="003323C3"/>
    <w:rsid w:val="00332EB4"/>
    <w:rsid w:val="0033310B"/>
    <w:rsid w:val="003332DF"/>
    <w:rsid w:val="00333D07"/>
    <w:rsid w:val="003346DD"/>
    <w:rsid w:val="0033484C"/>
    <w:rsid w:val="00335346"/>
    <w:rsid w:val="00336251"/>
    <w:rsid w:val="003363EA"/>
    <w:rsid w:val="0033748D"/>
    <w:rsid w:val="003374F3"/>
    <w:rsid w:val="003375CC"/>
    <w:rsid w:val="003377BE"/>
    <w:rsid w:val="00337904"/>
    <w:rsid w:val="00337B54"/>
    <w:rsid w:val="00337B89"/>
    <w:rsid w:val="00337C18"/>
    <w:rsid w:val="003404F4"/>
    <w:rsid w:val="00340690"/>
    <w:rsid w:val="003414C0"/>
    <w:rsid w:val="00342391"/>
    <w:rsid w:val="003423F9"/>
    <w:rsid w:val="00343006"/>
    <w:rsid w:val="003434CA"/>
    <w:rsid w:val="00344CA2"/>
    <w:rsid w:val="00344E12"/>
    <w:rsid w:val="00345763"/>
    <w:rsid w:val="003457BE"/>
    <w:rsid w:val="00345CB5"/>
    <w:rsid w:val="003464DF"/>
    <w:rsid w:val="003465A1"/>
    <w:rsid w:val="0034682F"/>
    <w:rsid w:val="003469D6"/>
    <w:rsid w:val="003471DB"/>
    <w:rsid w:val="003473C8"/>
    <w:rsid w:val="003502A1"/>
    <w:rsid w:val="003504E0"/>
    <w:rsid w:val="0035082A"/>
    <w:rsid w:val="00350D4D"/>
    <w:rsid w:val="0035186F"/>
    <w:rsid w:val="00351AF8"/>
    <w:rsid w:val="00352E3B"/>
    <w:rsid w:val="0035369E"/>
    <w:rsid w:val="003543CA"/>
    <w:rsid w:val="0035566C"/>
    <w:rsid w:val="00355D3D"/>
    <w:rsid w:val="00356255"/>
    <w:rsid w:val="0035637C"/>
    <w:rsid w:val="003568F4"/>
    <w:rsid w:val="003569E6"/>
    <w:rsid w:val="00357BCF"/>
    <w:rsid w:val="0036045F"/>
    <w:rsid w:val="00360A32"/>
    <w:rsid w:val="00360D7F"/>
    <w:rsid w:val="003613AD"/>
    <w:rsid w:val="003617C0"/>
    <w:rsid w:val="00361FF5"/>
    <w:rsid w:val="0036203E"/>
    <w:rsid w:val="0036219B"/>
    <w:rsid w:val="00362ABC"/>
    <w:rsid w:val="00363795"/>
    <w:rsid w:val="0036393D"/>
    <w:rsid w:val="00363CF3"/>
    <w:rsid w:val="00364DFC"/>
    <w:rsid w:val="003661B6"/>
    <w:rsid w:val="00366CA5"/>
    <w:rsid w:val="003670B5"/>
    <w:rsid w:val="00367596"/>
    <w:rsid w:val="003679DF"/>
    <w:rsid w:val="00367E00"/>
    <w:rsid w:val="00367EE7"/>
    <w:rsid w:val="00370BA0"/>
    <w:rsid w:val="00370C0F"/>
    <w:rsid w:val="00372AFF"/>
    <w:rsid w:val="0037349C"/>
    <w:rsid w:val="003734B7"/>
    <w:rsid w:val="003735B3"/>
    <w:rsid w:val="00373FEA"/>
    <w:rsid w:val="00374808"/>
    <w:rsid w:val="0037532B"/>
    <w:rsid w:val="00375CF3"/>
    <w:rsid w:val="00376B0B"/>
    <w:rsid w:val="00376C8E"/>
    <w:rsid w:val="003773AF"/>
    <w:rsid w:val="0037783D"/>
    <w:rsid w:val="003802D0"/>
    <w:rsid w:val="003807B3"/>
    <w:rsid w:val="00381066"/>
    <w:rsid w:val="0038135C"/>
    <w:rsid w:val="003816FE"/>
    <w:rsid w:val="00381C02"/>
    <w:rsid w:val="003828D3"/>
    <w:rsid w:val="003828FF"/>
    <w:rsid w:val="00382A64"/>
    <w:rsid w:val="00382AA2"/>
    <w:rsid w:val="00383BA9"/>
    <w:rsid w:val="00383C5B"/>
    <w:rsid w:val="00383EB8"/>
    <w:rsid w:val="0038434A"/>
    <w:rsid w:val="00384AA6"/>
    <w:rsid w:val="00384ADE"/>
    <w:rsid w:val="00385531"/>
    <w:rsid w:val="00386F35"/>
    <w:rsid w:val="0038753A"/>
    <w:rsid w:val="003879B0"/>
    <w:rsid w:val="003901D6"/>
    <w:rsid w:val="00390976"/>
    <w:rsid w:val="00390AB5"/>
    <w:rsid w:val="003917BE"/>
    <w:rsid w:val="0039225B"/>
    <w:rsid w:val="00393116"/>
    <w:rsid w:val="003932A2"/>
    <w:rsid w:val="00393C0C"/>
    <w:rsid w:val="00393E49"/>
    <w:rsid w:val="0039409E"/>
    <w:rsid w:val="00394D07"/>
    <w:rsid w:val="00396955"/>
    <w:rsid w:val="003972A4"/>
    <w:rsid w:val="003976C2"/>
    <w:rsid w:val="00397E51"/>
    <w:rsid w:val="003A0167"/>
    <w:rsid w:val="003A0244"/>
    <w:rsid w:val="003A157A"/>
    <w:rsid w:val="003A22EA"/>
    <w:rsid w:val="003A24F1"/>
    <w:rsid w:val="003A266B"/>
    <w:rsid w:val="003A2BF2"/>
    <w:rsid w:val="003A3371"/>
    <w:rsid w:val="003A3612"/>
    <w:rsid w:val="003A419A"/>
    <w:rsid w:val="003A45B2"/>
    <w:rsid w:val="003A4C66"/>
    <w:rsid w:val="003A50CF"/>
    <w:rsid w:val="003A6D8B"/>
    <w:rsid w:val="003A76B3"/>
    <w:rsid w:val="003B0D66"/>
    <w:rsid w:val="003B0F62"/>
    <w:rsid w:val="003B1C65"/>
    <w:rsid w:val="003B1D97"/>
    <w:rsid w:val="003B2CC7"/>
    <w:rsid w:val="003B30FB"/>
    <w:rsid w:val="003B31FB"/>
    <w:rsid w:val="003B3792"/>
    <w:rsid w:val="003B3E27"/>
    <w:rsid w:val="003B5378"/>
    <w:rsid w:val="003B64CE"/>
    <w:rsid w:val="003B7099"/>
    <w:rsid w:val="003B7522"/>
    <w:rsid w:val="003B7532"/>
    <w:rsid w:val="003B79AE"/>
    <w:rsid w:val="003C02B6"/>
    <w:rsid w:val="003C05F5"/>
    <w:rsid w:val="003C0D18"/>
    <w:rsid w:val="003C1085"/>
    <w:rsid w:val="003C1209"/>
    <w:rsid w:val="003C15A7"/>
    <w:rsid w:val="003C1DB4"/>
    <w:rsid w:val="003C276B"/>
    <w:rsid w:val="003C2E08"/>
    <w:rsid w:val="003C37E6"/>
    <w:rsid w:val="003C43F6"/>
    <w:rsid w:val="003C46AF"/>
    <w:rsid w:val="003C4A56"/>
    <w:rsid w:val="003C4BAE"/>
    <w:rsid w:val="003C4D69"/>
    <w:rsid w:val="003C4E6F"/>
    <w:rsid w:val="003C522A"/>
    <w:rsid w:val="003C56CD"/>
    <w:rsid w:val="003C575F"/>
    <w:rsid w:val="003C6859"/>
    <w:rsid w:val="003C72E8"/>
    <w:rsid w:val="003C7B9A"/>
    <w:rsid w:val="003C7D04"/>
    <w:rsid w:val="003C7E3C"/>
    <w:rsid w:val="003D0637"/>
    <w:rsid w:val="003D2E89"/>
    <w:rsid w:val="003D2EE2"/>
    <w:rsid w:val="003D37BC"/>
    <w:rsid w:val="003D37D1"/>
    <w:rsid w:val="003D3A46"/>
    <w:rsid w:val="003D3D67"/>
    <w:rsid w:val="003D3E46"/>
    <w:rsid w:val="003D3EA3"/>
    <w:rsid w:val="003D4040"/>
    <w:rsid w:val="003D4047"/>
    <w:rsid w:val="003D4052"/>
    <w:rsid w:val="003D4516"/>
    <w:rsid w:val="003D4904"/>
    <w:rsid w:val="003D5D32"/>
    <w:rsid w:val="003D5E9B"/>
    <w:rsid w:val="003D5F07"/>
    <w:rsid w:val="003D688D"/>
    <w:rsid w:val="003D68C1"/>
    <w:rsid w:val="003D6BB0"/>
    <w:rsid w:val="003D721B"/>
    <w:rsid w:val="003D7CEC"/>
    <w:rsid w:val="003E0076"/>
    <w:rsid w:val="003E0FBD"/>
    <w:rsid w:val="003E1F4F"/>
    <w:rsid w:val="003E2DDC"/>
    <w:rsid w:val="003E3F93"/>
    <w:rsid w:val="003E4C31"/>
    <w:rsid w:val="003E4FE7"/>
    <w:rsid w:val="003E5CEC"/>
    <w:rsid w:val="003E76CD"/>
    <w:rsid w:val="003E7E9F"/>
    <w:rsid w:val="003F009C"/>
    <w:rsid w:val="003F0AA3"/>
    <w:rsid w:val="003F1054"/>
    <w:rsid w:val="003F1548"/>
    <w:rsid w:val="003F17FC"/>
    <w:rsid w:val="003F20A7"/>
    <w:rsid w:val="003F22FD"/>
    <w:rsid w:val="003F2BD7"/>
    <w:rsid w:val="003F2EB7"/>
    <w:rsid w:val="003F31C1"/>
    <w:rsid w:val="003F34A6"/>
    <w:rsid w:val="003F368A"/>
    <w:rsid w:val="003F371F"/>
    <w:rsid w:val="003F407C"/>
    <w:rsid w:val="003F40DC"/>
    <w:rsid w:val="003F4326"/>
    <w:rsid w:val="003F44F1"/>
    <w:rsid w:val="003F5C8D"/>
    <w:rsid w:val="003F5F35"/>
    <w:rsid w:val="003F6BD2"/>
    <w:rsid w:val="003F7400"/>
    <w:rsid w:val="00400AC1"/>
    <w:rsid w:val="00400BE7"/>
    <w:rsid w:val="004013BC"/>
    <w:rsid w:val="0040153B"/>
    <w:rsid w:val="00401F2C"/>
    <w:rsid w:val="0040273C"/>
    <w:rsid w:val="00404639"/>
    <w:rsid w:val="00404D26"/>
    <w:rsid w:val="00404D89"/>
    <w:rsid w:val="00404F99"/>
    <w:rsid w:val="004050D1"/>
    <w:rsid w:val="00406674"/>
    <w:rsid w:val="00407AFD"/>
    <w:rsid w:val="00407BD2"/>
    <w:rsid w:val="00407EB4"/>
    <w:rsid w:val="004103A0"/>
    <w:rsid w:val="00410652"/>
    <w:rsid w:val="004115DE"/>
    <w:rsid w:val="00411C3C"/>
    <w:rsid w:val="00411ED3"/>
    <w:rsid w:val="00411FFE"/>
    <w:rsid w:val="004125A8"/>
    <w:rsid w:val="00414278"/>
    <w:rsid w:val="004143AE"/>
    <w:rsid w:val="004146C3"/>
    <w:rsid w:val="00416E41"/>
    <w:rsid w:val="0041738D"/>
    <w:rsid w:val="00417992"/>
    <w:rsid w:val="00417EC0"/>
    <w:rsid w:val="00420B73"/>
    <w:rsid w:val="00420FD7"/>
    <w:rsid w:val="00421126"/>
    <w:rsid w:val="0042120D"/>
    <w:rsid w:val="00421615"/>
    <w:rsid w:val="00421743"/>
    <w:rsid w:val="00421EA5"/>
    <w:rsid w:val="00422579"/>
    <w:rsid w:val="00423864"/>
    <w:rsid w:val="004238DF"/>
    <w:rsid w:val="00424865"/>
    <w:rsid w:val="00424BEF"/>
    <w:rsid w:val="00425034"/>
    <w:rsid w:val="004256A4"/>
    <w:rsid w:val="0042583F"/>
    <w:rsid w:val="004260B3"/>
    <w:rsid w:val="00426223"/>
    <w:rsid w:val="00426E74"/>
    <w:rsid w:val="00427DDC"/>
    <w:rsid w:val="00431032"/>
    <w:rsid w:val="00431229"/>
    <w:rsid w:val="00431A77"/>
    <w:rsid w:val="004324DD"/>
    <w:rsid w:val="00432AC2"/>
    <w:rsid w:val="00432B8E"/>
    <w:rsid w:val="00432EBD"/>
    <w:rsid w:val="0043325B"/>
    <w:rsid w:val="004339A5"/>
    <w:rsid w:val="00433A36"/>
    <w:rsid w:val="0043415D"/>
    <w:rsid w:val="004349A8"/>
    <w:rsid w:val="004354FC"/>
    <w:rsid w:val="0043645E"/>
    <w:rsid w:val="00436A72"/>
    <w:rsid w:val="0043701A"/>
    <w:rsid w:val="004371BE"/>
    <w:rsid w:val="0043757F"/>
    <w:rsid w:val="004377F2"/>
    <w:rsid w:val="00437DA3"/>
    <w:rsid w:val="004406FC"/>
    <w:rsid w:val="00440A58"/>
    <w:rsid w:val="00440F7C"/>
    <w:rsid w:val="004411CD"/>
    <w:rsid w:val="00441258"/>
    <w:rsid w:val="00441B4E"/>
    <w:rsid w:val="004424D5"/>
    <w:rsid w:val="004430F6"/>
    <w:rsid w:val="00443D69"/>
    <w:rsid w:val="0044406F"/>
    <w:rsid w:val="004454F7"/>
    <w:rsid w:val="00445FFD"/>
    <w:rsid w:val="00446CB5"/>
    <w:rsid w:val="00447D55"/>
    <w:rsid w:val="00450A59"/>
    <w:rsid w:val="00450C05"/>
    <w:rsid w:val="00451C8F"/>
    <w:rsid w:val="004522DD"/>
    <w:rsid w:val="00453079"/>
    <w:rsid w:val="004530B2"/>
    <w:rsid w:val="00453265"/>
    <w:rsid w:val="004540E1"/>
    <w:rsid w:val="0045442A"/>
    <w:rsid w:val="004544E0"/>
    <w:rsid w:val="00454A29"/>
    <w:rsid w:val="00454CF0"/>
    <w:rsid w:val="00455520"/>
    <w:rsid w:val="00455855"/>
    <w:rsid w:val="0045680E"/>
    <w:rsid w:val="004571A8"/>
    <w:rsid w:val="004578B9"/>
    <w:rsid w:val="004600B6"/>
    <w:rsid w:val="00461145"/>
    <w:rsid w:val="004616FC"/>
    <w:rsid w:val="00461FF8"/>
    <w:rsid w:val="00462B45"/>
    <w:rsid w:val="00462CA9"/>
    <w:rsid w:val="004630B3"/>
    <w:rsid w:val="00463395"/>
    <w:rsid w:val="004635FE"/>
    <w:rsid w:val="0046375E"/>
    <w:rsid w:val="004641F2"/>
    <w:rsid w:val="00464201"/>
    <w:rsid w:val="0046481E"/>
    <w:rsid w:val="00464DBF"/>
    <w:rsid w:val="0046548F"/>
    <w:rsid w:val="004660C5"/>
    <w:rsid w:val="0046697C"/>
    <w:rsid w:val="0046706B"/>
    <w:rsid w:val="00467132"/>
    <w:rsid w:val="00467D05"/>
    <w:rsid w:val="00470AA6"/>
    <w:rsid w:val="004712F0"/>
    <w:rsid w:val="00471B34"/>
    <w:rsid w:val="00472309"/>
    <w:rsid w:val="00472A78"/>
    <w:rsid w:val="00472E27"/>
    <w:rsid w:val="00472E82"/>
    <w:rsid w:val="00473547"/>
    <w:rsid w:val="0047412F"/>
    <w:rsid w:val="00474CE2"/>
    <w:rsid w:val="00475A0D"/>
    <w:rsid w:val="00475AAF"/>
    <w:rsid w:val="00475E33"/>
    <w:rsid w:val="00477544"/>
    <w:rsid w:val="004804EC"/>
    <w:rsid w:val="00481228"/>
    <w:rsid w:val="0048151B"/>
    <w:rsid w:val="0048178C"/>
    <w:rsid w:val="00482E03"/>
    <w:rsid w:val="0048417E"/>
    <w:rsid w:val="00484B6A"/>
    <w:rsid w:val="004851BA"/>
    <w:rsid w:val="004856F8"/>
    <w:rsid w:val="00485824"/>
    <w:rsid w:val="00485A3F"/>
    <w:rsid w:val="004865A5"/>
    <w:rsid w:val="0048764C"/>
    <w:rsid w:val="0048790C"/>
    <w:rsid w:val="0048795C"/>
    <w:rsid w:val="00487990"/>
    <w:rsid w:val="00487F91"/>
    <w:rsid w:val="0049085F"/>
    <w:rsid w:val="00490BB8"/>
    <w:rsid w:val="004910F5"/>
    <w:rsid w:val="00491804"/>
    <w:rsid w:val="0049257B"/>
    <w:rsid w:val="0049305E"/>
    <w:rsid w:val="00493113"/>
    <w:rsid w:val="00494900"/>
    <w:rsid w:val="00494F3F"/>
    <w:rsid w:val="004952AF"/>
    <w:rsid w:val="004953F5"/>
    <w:rsid w:val="00495613"/>
    <w:rsid w:val="00495896"/>
    <w:rsid w:val="004958A2"/>
    <w:rsid w:val="00495B6C"/>
    <w:rsid w:val="00495E42"/>
    <w:rsid w:val="00495F0E"/>
    <w:rsid w:val="0049776F"/>
    <w:rsid w:val="004A00FA"/>
    <w:rsid w:val="004A0D3B"/>
    <w:rsid w:val="004A0FA4"/>
    <w:rsid w:val="004A1136"/>
    <w:rsid w:val="004A16F1"/>
    <w:rsid w:val="004A174A"/>
    <w:rsid w:val="004A182A"/>
    <w:rsid w:val="004A18F0"/>
    <w:rsid w:val="004A19D6"/>
    <w:rsid w:val="004A20BB"/>
    <w:rsid w:val="004A2719"/>
    <w:rsid w:val="004A28A3"/>
    <w:rsid w:val="004A3A6C"/>
    <w:rsid w:val="004A4831"/>
    <w:rsid w:val="004A4847"/>
    <w:rsid w:val="004A4CC3"/>
    <w:rsid w:val="004A5B10"/>
    <w:rsid w:val="004A5CEE"/>
    <w:rsid w:val="004A6782"/>
    <w:rsid w:val="004A6E82"/>
    <w:rsid w:val="004A6EEB"/>
    <w:rsid w:val="004A6F02"/>
    <w:rsid w:val="004A6FF6"/>
    <w:rsid w:val="004A7520"/>
    <w:rsid w:val="004A77AC"/>
    <w:rsid w:val="004A7F39"/>
    <w:rsid w:val="004B044A"/>
    <w:rsid w:val="004B062B"/>
    <w:rsid w:val="004B123A"/>
    <w:rsid w:val="004B144A"/>
    <w:rsid w:val="004B151D"/>
    <w:rsid w:val="004B193B"/>
    <w:rsid w:val="004B1C30"/>
    <w:rsid w:val="004B1CCB"/>
    <w:rsid w:val="004B26D8"/>
    <w:rsid w:val="004B3CC5"/>
    <w:rsid w:val="004B48E0"/>
    <w:rsid w:val="004B48F4"/>
    <w:rsid w:val="004B4A5D"/>
    <w:rsid w:val="004B4B41"/>
    <w:rsid w:val="004B4C6F"/>
    <w:rsid w:val="004B4F9E"/>
    <w:rsid w:val="004B543A"/>
    <w:rsid w:val="004B58FE"/>
    <w:rsid w:val="004B5934"/>
    <w:rsid w:val="004B617C"/>
    <w:rsid w:val="004B6C88"/>
    <w:rsid w:val="004B6D78"/>
    <w:rsid w:val="004B6F0D"/>
    <w:rsid w:val="004B7C9C"/>
    <w:rsid w:val="004C12F6"/>
    <w:rsid w:val="004C13B3"/>
    <w:rsid w:val="004C1EB4"/>
    <w:rsid w:val="004C1FE7"/>
    <w:rsid w:val="004C2144"/>
    <w:rsid w:val="004C291F"/>
    <w:rsid w:val="004C31F5"/>
    <w:rsid w:val="004C3818"/>
    <w:rsid w:val="004C3BEB"/>
    <w:rsid w:val="004C410B"/>
    <w:rsid w:val="004C41EB"/>
    <w:rsid w:val="004C44CB"/>
    <w:rsid w:val="004C4588"/>
    <w:rsid w:val="004C5064"/>
    <w:rsid w:val="004C5E52"/>
    <w:rsid w:val="004C6227"/>
    <w:rsid w:val="004C62D8"/>
    <w:rsid w:val="004C6795"/>
    <w:rsid w:val="004C6904"/>
    <w:rsid w:val="004C6DA2"/>
    <w:rsid w:val="004C7BDD"/>
    <w:rsid w:val="004C7DA8"/>
    <w:rsid w:val="004C7E55"/>
    <w:rsid w:val="004D0B12"/>
    <w:rsid w:val="004D16A1"/>
    <w:rsid w:val="004D1704"/>
    <w:rsid w:val="004D1A31"/>
    <w:rsid w:val="004D2C48"/>
    <w:rsid w:val="004D421E"/>
    <w:rsid w:val="004D4734"/>
    <w:rsid w:val="004D5716"/>
    <w:rsid w:val="004D60DD"/>
    <w:rsid w:val="004D6323"/>
    <w:rsid w:val="004D6713"/>
    <w:rsid w:val="004D743C"/>
    <w:rsid w:val="004E0111"/>
    <w:rsid w:val="004E118D"/>
    <w:rsid w:val="004E2117"/>
    <w:rsid w:val="004E2378"/>
    <w:rsid w:val="004E2702"/>
    <w:rsid w:val="004E2BEA"/>
    <w:rsid w:val="004E3AC3"/>
    <w:rsid w:val="004E3C2E"/>
    <w:rsid w:val="004E48CE"/>
    <w:rsid w:val="004E4F12"/>
    <w:rsid w:val="004E65CB"/>
    <w:rsid w:val="004E699D"/>
    <w:rsid w:val="004E6E61"/>
    <w:rsid w:val="004E721A"/>
    <w:rsid w:val="004E7447"/>
    <w:rsid w:val="004E7489"/>
    <w:rsid w:val="004F1234"/>
    <w:rsid w:val="004F15F1"/>
    <w:rsid w:val="004F187C"/>
    <w:rsid w:val="004F2EEA"/>
    <w:rsid w:val="004F34C6"/>
    <w:rsid w:val="004F353A"/>
    <w:rsid w:val="004F3B12"/>
    <w:rsid w:val="004F4AC4"/>
    <w:rsid w:val="004F4D37"/>
    <w:rsid w:val="004F4EA0"/>
    <w:rsid w:val="004F52B6"/>
    <w:rsid w:val="004F5370"/>
    <w:rsid w:val="004F6640"/>
    <w:rsid w:val="004F75F1"/>
    <w:rsid w:val="004F7981"/>
    <w:rsid w:val="00500A75"/>
    <w:rsid w:val="00501101"/>
    <w:rsid w:val="00501B6F"/>
    <w:rsid w:val="00502223"/>
    <w:rsid w:val="00502E7D"/>
    <w:rsid w:val="005030DE"/>
    <w:rsid w:val="00503253"/>
    <w:rsid w:val="00503A74"/>
    <w:rsid w:val="00503BE0"/>
    <w:rsid w:val="00503E1A"/>
    <w:rsid w:val="00504F30"/>
    <w:rsid w:val="005056D5"/>
    <w:rsid w:val="005058E9"/>
    <w:rsid w:val="0050591F"/>
    <w:rsid w:val="00505A55"/>
    <w:rsid w:val="00506461"/>
    <w:rsid w:val="00506514"/>
    <w:rsid w:val="0050732D"/>
    <w:rsid w:val="0050762B"/>
    <w:rsid w:val="00510039"/>
    <w:rsid w:val="00511CEC"/>
    <w:rsid w:val="005123FF"/>
    <w:rsid w:val="005125DF"/>
    <w:rsid w:val="00512F0B"/>
    <w:rsid w:val="00513205"/>
    <w:rsid w:val="0051338F"/>
    <w:rsid w:val="005138C1"/>
    <w:rsid w:val="00513DC3"/>
    <w:rsid w:val="00514072"/>
    <w:rsid w:val="0051434B"/>
    <w:rsid w:val="00514BEE"/>
    <w:rsid w:val="00514E34"/>
    <w:rsid w:val="0051589F"/>
    <w:rsid w:val="005159ED"/>
    <w:rsid w:val="0051638B"/>
    <w:rsid w:val="005171F1"/>
    <w:rsid w:val="005201A0"/>
    <w:rsid w:val="00520206"/>
    <w:rsid w:val="00520A39"/>
    <w:rsid w:val="00520C0E"/>
    <w:rsid w:val="00520CF3"/>
    <w:rsid w:val="00521568"/>
    <w:rsid w:val="005217CD"/>
    <w:rsid w:val="00522092"/>
    <w:rsid w:val="005222B4"/>
    <w:rsid w:val="00522559"/>
    <w:rsid w:val="00522B4B"/>
    <w:rsid w:val="00523AE2"/>
    <w:rsid w:val="00523D3A"/>
    <w:rsid w:val="00524108"/>
    <w:rsid w:val="005250F5"/>
    <w:rsid w:val="00525BD7"/>
    <w:rsid w:val="00525FBD"/>
    <w:rsid w:val="00526B5D"/>
    <w:rsid w:val="00527163"/>
    <w:rsid w:val="00527575"/>
    <w:rsid w:val="00527607"/>
    <w:rsid w:val="005278D2"/>
    <w:rsid w:val="00527955"/>
    <w:rsid w:val="005300B7"/>
    <w:rsid w:val="00530B2F"/>
    <w:rsid w:val="005310BA"/>
    <w:rsid w:val="00531369"/>
    <w:rsid w:val="00531407"/>
    <w:rsid w:val="0053140D"/>
    <w:rsid w:val="00531D0B"/>
    <w:rsid w:val="0053271A"/>
    <w:rsid w:val="00532C6C"/>
    <w:rsid w:val="00532F0C"/>
    <w:rsid w:val="00533E57"/>
    <w:rsid w:val="00534053"/>
    <w:rsid w:val="005348C5"/>
    <w:rsid w:val="005353B9"/>
    <w:rsid w:val="00535C17"/>
    <w:rsid w:val="005366F0"/>
    <w:rsid w:val="00536A2C"/>
    <w:rsid w:val="005379D5"/>
    <w:rsid w:val="0054106B"/>
    <w:rsid w:val="005416F5"/>
    <w:rsid w:val="005419D5"/>
    <w:rsid w:val="005421A0"/>
    <w:rsid w:val="005425C7"/>
    <w:rsid w:val="0054266E"/>
    <w:rsid w:val="00542734"/>
    <w:rsid w:val="00542E99"/>
    <w:rsid w:val="00542F80"/>
    <w:rsid w:val="005434CF"/>
    <w:rsid w:val="005444B6"/>
    <w:rsid w:val="00544EF1"/>
    <w:rsid w:val="00545647"/>
    <w:rsid w:val="00545EA6"/>
    <w:rsid w:val="00545F9A"/>
    <w:rsid w:val="00546644"/>
    <w:rsid w:val="0054670A"/>
    <w:rsid w:val="005469EA"/>
    <w:rsid w:val="00546F08"/>
    <w:rsid w:val="00547215"/>
    <w:rsid w:val="005479C5"/>
    <w:rsid w:val="00547A7A"/>
    <w:rsid w:val="005503D4"/>
    <w:rsid w:val="005509F7"/>
    <w:rsid w:val="00551067"/>
    <w:rsid w:val="005517E1"/>
    <w:rsid w:val="005531A2"/>
    <w:rsid w:val="005539EB"/>
    <w:rsid w:val="00553EF9"/>
    <w:rsid w:val="00554B7C"/>
    <w:rsid w:val="005561B4"/>
    <w:rsid w:val="005568E6"/>
    <w:rsid w:val="005569D8"/>
    <w:rsid w:val="00556C79"/>
    <w:rsid w:val="00557EBB"/>
    <w:rsid w:val="00561220"/>
    <w:rsid w:val="005617DC"/>
    <w:rsid w:val="00561A5C"/>
    <w:rsid w:val="0056225F"/>
    <w:rsid w:val="0056241C"/>
    <w:rsid w:val="00562485"/>
    <w:rsid w:val="00562E34"/>
    <w:rsid w:val="00564868"/>
    <w:rsid w:val="005651B9"/>
    <w:rsid w:val="0056584A"/>
    <w:rsid w:val="00565CDB"/>
    <w:rsid w:val="00565DFD"/>
    <w:rsid w:val="00566AAA"/>
    <w:rsid w:val="00566F17"/>
    <w:rsid w:val="0056730A"/>
    <w:rsid w:val="00567850"/>
    <w:rsid w:val="00570113"/>
    <w:rsid w:val="00570169"/>
    <w:rsid w:val="005707D8"/>
    <w:rsid w:val="005717CB"/>
    <w:rsid w:val="00572334"/>
    <w:rsid w:val="0057234D"/>
    <w:rsid w:val="00572B7A"/>
    <w:rsid w:val="00572C7C"/>
    <w:rsid w:val="00573456"/>
    <w:rsid w:val="00573A1D"/>
    <w:rsid w:val="00574773"/>
    <w:rsid w:val="0057547E"/>
    <w:rsid w:val="00576409"/>
    <w:rsid w:val="00576C03"/>
    <w:rsid w:val="00576DCF"/>
    <w:rsid w:val="005771F6"/>
    <w:rsid w:val="005778A6"/>
    <w:rsid w:val="005801EC"/>
    <w:rsid w:val="00580A58"/>
    <w:rsid w:val="00581870"/>
    <w:rsid w:val="00581DF1"/>
    <w:rsid w:val="00581E80"/>
    <w:rsid w:val="00582DBE"/>
    <w:rsid w:val="00583995"/>
    <w:rsid w:val="00583CAC"/>
    <w:rsid w:val="0058400E"/>
    <w:rsid w:val="0058435B"/>
    <w:rsid w:val="00584755"/>
    <w:rsid w:val="00585588"/>
    <w:rsid w:val="00585D9F"/>
    <w:rsid w:val="00586F3D"/>
    <w:rsid w:val="005873B9"/>
    <w:rsid w:val="00587C60"/>
    <w:rsid w:val="00587CD1"/>
    <w:rsid w:val="005914DA"/>
    <w:rsid w:val="00591A9C"/>
    <w:rsid w:val="00591BDD"/>
    <w:rsid w:val="00592328"/>
    <w:rsid w:val="005932D2"/>
    <w:rsid w:val="005933D3"/>
    <w:rsid w:val="005936B1"/>
    <w:rsid w:val="00594698"/>
    <w:rsid w:val="0059488E"/>
    <w:rsid w:val="005958EC"/>
    <w:rsid w:val="00595C6C"/>
    <w:rsid w:val="00596536"/>
    <w:rsid w:val="00596BFE"/>
    <w:rsid w:val="00596E4A"/>
    <w:rsid w:val="005970FD"/>
    <w:rsid w:val="005972FE"/>
    <w:rsid w:val="0059744A"/>
    <w:rsid w:val="005979B8"/>
    <w:rsid w:val="00597A23"/>
    <w:rsid w:val="005A0F83"/>
    <w:rsid w:val="005A1734"/>
    <w:rsid w:val="005A188F"/>
    <w:rsid w:val="005A23E0"/>
    <w:rsid w:val="005A27DD"/>
    <w:rsid w:val="005A2E75"/>
    <w:rsid w:val="005A33EB"/>
    <w:rsid w:val="005A3508"/>
    <w:rsid w:val="005A495D"/>
    <w:rsid w:val="005A4B8F"/>
    <w:rsid w:val="005A4C2C"/>
    <w:rsid w:val="005A4CB0"/>
    <w:rsid w:val="005A517C"/>
    <w:rsid w:val="005A51FA"/>
    <w:rsid w:val="005A573B"/>
    <w:rsid w:val="005A601A"/>
    <w:rsid w:val="005A63BC"/>
    <w:rsid w:val="005A65A0"/>
    <w:rsid w:val="005A6904"/>
    <w:rsid w:val="005A6CBA"/>
    <w:rsid w:val="005A6D37"/>
    <w:rsid w:val="005A6F93"/>
    <w:rsid w:val="005A7010"/>
    <w:rsid w:val="005A7398"/>
    <w:rsid w:val="005A78A4"/>
    <w:rsid w:val="005A7A96"/>
    <w:rsid w:val="005A7E99"/>
    <w:rsid w:val="005B0428"/>
    <w:rsid w:val="005B048F"/>
    <w:rsid w:val="005B10F9"/>
    <w:rsid w:val="005B2F8F"/>
    <w:rsid w:val="005B2F9E"/>
    <w:rsid w:val="005B35F7"/>
    <w:rsid w:val="005B3BE5"/>
    <w:rsid w:val="005B3EE8"/>
    <w:rsid w:val="005B4198"/>
    <w:rsid w:val="005B41CE"/>
    <w:rsid w:val="005B46D1"/>
    <w:rsid w:val="005B46F6"/>
    <w:rsid w:val="005B4A61"/>
    <w:rsid w:val="005B4AB3"/>
    <w:rsid w:val="005B5068"/>
    <w:rsid w:val="005B512B"/>
    <w:rsid w:val="005B522A"/>
    <w:rsid w:val="005B5640"/>
    <w:rsid w:val="005B5992"/>
    <w:rsid w:val="005B611D"/>
    <w:rsid w:val="005B62FF"/>
    <w:rsid w:val="005B6300"/>
    <w:rsid w:val="005B6465"/>
    <w:rsid w:val="005B6B9D"/>
    <w:rsid w:val="005B7E60"/>
    <w:rsid w:val="005C07BE"/>
    <w:rsid w:val="005C18A2"/>
    <w:rsid w:val="005C19E4"/>
    <w:rsid w:val="005C22DA"/>
    <w:rsid w:val="005C2C6E"/>
    <w:rsid w:val="005C3991"/>
    <w:rsid w:val="005C399C"/>
    <w:rsid w:val="005C3E77"/>
    <w:rsid w:val="005C3F23"/>
    <w:rsid w:val="005C3F86"/>
    <w:rsid w:val="005C43C7"/>
    <w:rsid w:val="005C4EB3"/>
    <w:rsid w:val="005C59DE"/>
    <w:rsid w:val="005C71EE"/>
    <w:rsid w:val="005C7AB2"/>
    <w:rsid w:val="005D0093"/>
    <w:rsid w:val="005D255C"/>
    <w:rsid w:val="005D2739"/>
    <w:rsid w:val="005D27CE"/>
    <w:rsid w:val="005D2C4A"/>
    <w:rsid w:val="005D36E9"/>
    <w:rsid w:val="005D3970"/>
    <w:rsid w:val="005D39EB"/>
    <w:rsid w:val="005D3EBB"/>
    <w:rsid w:val="005D4003"/>
    <w:rsid w:val="005D4066"/>
    <w:rsid w:val="005D4CE7"/>
    <w:rsid w:val="005D5792"/>
    <w:rsid w:val="005D5C37"/>
    <w:rsid w:val="005D5CDF"/>
    <w:rsid w:val="005D604E"/>
    <w:rsid w:val="005D7678"/>
    <w:rsid w:val="005D7B40"/>
    <w:rsid w:val="005D7B61"/>
    <w:rsid w:val="005E03B8"/>
    <w:rsid w:val="005E0584"/>
    <w:rsid w:val="005E0D55"/>
    <w:rsid w:val="005E0EDA"/>
    <w:rsid w:val="005E14FB"/>
    <w:rsid w:val="005E2620"/>
    <w:rsid w:val="005E293D"/>
    <w:rsid w:val="005E325C"/>
    <w:rsid w:val="005E3C22"/>
    <w:rsid w:val="005E44F4"/>
    <w:rsid w:val="005E48A7"/>
    <w:rsid w:val="005E4B95"/>
    <w:rsid w:val="005E4C75"/>
    <w:rsid w:val="005E51A2"/>
    <w:rsid w:val="005E5227"/>
    <w:rsid w:val="005E5AF6"/>
    <w:rsid w:val="005E5B6B"/>
    <w:rsid w:val="005E5C54"/>
    <w:rsid w:val="005E6A58"/>
    <w:rsid w:val="005E6D6E"/>
    <w:rsid w:val="005E7528"/>
    <w:rsid w:val="005F04A1"/>
    <w:rsid w:val="005F0A12"/>
    <w:rsid w:val="005F0AD6"/>
    <w:rsid w:val="005F1BDC"/>
    <w:rsid w:val="005F209E"/>
    <w:rsid w:val="005F2355"/>
    <w:rsid w:val="005F2472"/>
    <w:rsid w:val="005F285E"/>
    <w:rsid w:val="005F2C25"/>
    <w:rsid w:val="005F2CE5"/>
    <w:rsid w:val="005F3399"/>
    <w:rsid w:val="005F3B2F"/>
    <w:rsid w:val="005F3D98"/>
    <w:rsid w:val="005F4513"/>
    <w:rsid w:val="005F4C4B"/>
    <w:rsid w:val="005F5CD2"/>
    <w:rsid w:val="005F6851"/>
    <w:rsid w:val="005F7B17"/>
    <w:rsid w:val="00600160"/>
    <w:rsid w:val="00600166"/>
    <w:rsid w:val="006008E5"/>
    <w:rsid w:val="00600AA8"/>
    <w:rsid w:val="00600C7C"/>
    <w:rsid w:val="00600DCF"/>
    <w:rsid w:val="00601021"/>
    <w:rsid w:val="006015A6"/>
    <w:rsid w:val="006020A5"/>
    <w:rsid w:val="00602794"/>
    <w:rsid w:val="006027A3"/>
    <w:rsid w:val="00602E46"/>
    <w:rsid w:val="00603BD6"/>
    <w:rsid w:val="006059A2"/>
    <w:rsid w:val="00605A75"/>
    <w:rsid w:val="00605AAB"/>
    <w:rsid w:val="00606172"/>
    <w:rsid w:val="00606285"/>
    <w:rsid w:val="0060661E"/>
    <w:rsid w:val="0060676E"/>
    <w:rsid w:val="00606B0D"/>
    <w:rsid w:val="00607170"/>
    <w:rsid w:val="00607287"/>
    <w:rsid w:val="006076E1"/>
    <w:rsid w:val="0060795B"/>
    <w:rsid w:val="00610451"/>
    <w:rsid w:val="006112CE"/>
    <w:rsid w:val="00611E4C"/>
    <w:rsid w:val="00611F09"/>
    <w:rsid w:val="00612088"/>
    <w:rsid w:val="006123AE"/>
    <w:rsid w:val="00612649"/>
    <w:rsid w:val="00612E2C"/>
    <w:rsid w:val="006130DE"/>
    <w:rsid w:val="00613CC7"/>
    <w:rsid w:val="00613F92"/>
    <w:rsid w:val="00614091"/>
    <w:rsid w:val="00615697"/>
    <w:rsid w:val="00616585"/>
    <w:rsid w:val="006165D6"/>
    <w:rsid w:val="0061688E"/>
    <w:rsid w:val="0061763B"/>
    <w:rsid w:val="00617ED3"/>
    <w:rsid w:val="0062066C"/>
    <w:rsid w:val="0062074B"/>
    <w:rsid w:val="00620AA8"/>
    <w:rsid w:val="00620FF3"/>
    <w:rsid w:val="006216E1"/>
    <w:rsid w:val="00621E58"/>
    <w:rsid w:val="00621F93"/>
    <w:rsid w:val="00622552"/>
    <w:rsid w:val="00622C2E"/>
    <w:rsid w:val="006240F6"/>
    <w:rsid w:val="0062411E"/>
    <w:rsid w:val="00624ABD"/>
    <w:rsid w:val="006250B8"/>
    <w:rsid w:val="006251B5"/>
    <w:rsid w:val="00625345"/>
    <w:rsid w:val="00625A71"/>
    <w:rsid w:val="006263BD"/>
    <w:rsid w:val="00626628"/>
    <w:rsid w:val="00627340"/>
    <w:rsid w:val="00630C40"/>
    <w:rsid w:val="00630F1F"/>
    <w:rsid w:val="006312A4"/>
    <w:rsid w:val="006314E9"/>
    <w:rsid w:val="0063157C"/>
    <w:rsid w:val="00631BBC"/>
    <w:rsid w:val="00632648"/>
    <w:rsid w:val="00632759"/>
    <w:rsid w:val="00632897"/>
    <w:rsid w:val="00632C90"/>
    <w:rsid w:val="00632EA4"/>
    <w:rsid w:val="00632EE9"/>
    <w:rsid w:val="00632FF0"/>
    <w:rsid w:val="00633C34"/>
    <w:rsid w:val="00633DF8"/>
    <w:rsid w:val="00633EE3"/>
    <w:rsid w:val="006344F5"/>
    <w:rsid w:val="006351A6"/>
    <w:rsid w:val="006351C1"/>
    <w:rsid w:val="0063572A"/>
    <w:rsid w:val="00635E9C"/>
    <w:rsid w:val="00636839"/>
    <w:rsid w:val="00636846"/>
    <w:rsid w:val="00636CF6"/>
    <w:rsid w:val="00636E65"/>
    <w:rsid w:val="00637240"/>
    <w:rsid w:val="006374FC"/>
    <w:rsid w:val="00637819"/>
    <w:rsid w:val="00637E2A"/>
    <w:rsid w:val="00640C6E"/>
    <w:rsid w:val="00640DF2"/>
    <w:rsid w:val="006413FD"/>
    <w:rsid w:val="00641BAA"/>
    <w:rsid w:val="00641F63"/>
    <w:rsid w:val="006426EE"/>
    <w:rsid w:val="00642FAC"/>
    <w:rsid w:val="006433D2"/>
    <w:rsid w:val="00643454"/>
    <w:rsid w:val="00644164"/>
    <w:rsid w:val="006449F9"/>
    <w:rsid w:val="00645075"/>
    <w:rsid w:val="00645880"/>
    <w:rsid w:val="006458DD"/>
    <w:rsid w:val="006459AC"/>
    <w:rsid w:val="00646498"/>
    <w:rsid w:val="00646F68"/>
    <w:rsid w:val="0064750B"/>
    <w:rsid w:val="006508DD"/>
    <w:rsid w:val="00650DA6"/>
    <w:rsid w:val="00651277"/>
    <w:rsid w:val="006516CA"/>
    <w:rsid w:val="00651D62"/>
    <w:rsid w:val="0065209E"/>
    <w:rsid w:val="0065230B"/>
    <w:rsid w:val="00652604"/>
    <w:rsid w:val="0065270E"/>
    <w:rsid w:val="00652E55"/>
    <w:rsid w:val="00653704"/>
    <w:rsid w:val="00653DF8"/>
    <w:rsid w:val="00653E3F"/>
    <w:rsid w:val="006544F4"/>
    <w:rsid w:val="00654C7B"/>
    <w:rsid w:val="0065525A"/>
    <w:rsid w:val="00655459"/>
    <w:rsid w:val="00655B0F"/>
    <w:rsid w:val="00656CC6"/>
    <w:rsid w:val="00657C55"/>
    <w:rsid w:val="006601CF"/>
    <w:rsid w:val="006603B1"/>
    <w:rsid w:val="00660FE2"/>
    <w:rsid w:val="00661240"/>
    <w:rsid w:val="006619E5"/>
    <w:rsid w:val="00661C27"/>
    <w:rsid w:val="006620C3"/>
    <w:rsid w:val="00662809"/>
    <w:rsid w:val="00662A80"/>
    <w:rsid w:val="00662BA9"/>
    <w:rsid w:val="00662DC6"/>
    <w:rsid w:val="00662EF6"/>
    <w:rsid w:val="00663245"/>
    <w:rsid w:val="0066396A"/>
    <w:rsid w:val="006642BA"/>
    <w:rsid w:val="0066551B"/>
    <w:rsid w:val="00665DB8"/>
    <w:rsid w:val="00665E3E"/>
    <w:rsid w:val="00666CED"/>
    <w:rsid w:val="00667010"/>
    <w:rsid w:val="00667B3E"/>
    <w:rsid w:val="00667C85"/>
    <w:rsid w:val="0067033E"/>
    <w:rsid w:val="006704DA"/>
    <w:rsid w:val="00670AC4"/>
    <w:rsid w:val="00670D8B"/>
    <w:rsid w:val="00671002"/>
    <w:rsid w:val="00674B3C"/>
    <w:rsid w:val="006750A6"/>
    <w:rsid w:val="006752AC"/>
    <w:rsid w:val="006757EE"/>
    <w:rsid w:val="0067580B"/>
    <w:rsid w:val="00676CF8"/>
    <w:rsid w:val="00676D4B"/>
    <w:rsid w:val="0067796F"/>
    <w:rsid w:val="006810A0"/>
    <w:rsid w:val="0068110B"/>
    <w:rsid w:val="0068149F"/>
    <w:rsid w:val="00681D63"/>
    <w:rsid w:val="006825AE"/>
    <w:rsid w:val="00682A11"/>
    <w:rsid w:val="00682DBE"/>
    <w:rsid w:val="006830A2"/>
    <w:rsid w:val="0068326D"/>
    <w:rsid w:val="0068334A"/>
    <w:rsid w:val="006835C0"/>
    <w:rsid w:val="0068473E"/>
    <w:rsid w:val="00684A15"/>
    <w:rsid w:val="006855B6"/>
    <w:rsid w:val="00686754"/>
    <w:rsid w:val="00686BCC"/>
    <w:rsid w:val="00687476"/>
    <w:rsid w:val="006904BD"/>
    <w:rsid w:val="00690848"/>
    <w:rsid w:val="00690955"/>
    <w:rsid w:val="00691CA8"/>
    <w:rsid w:val="00691D33"/>
    <w:rsid w:val="00691F93"/>
    <w:rsid w:val="0069207D"/>
    <w:rsid w:val="006930CF"/>
    <w:rsid w:val="00693DAA"/>
    <w:rsid w:val="00694B76"/>
    <w:rsid w:val="00695002"/>
    <w:rsid w:val="0069559F"/>
    <w:rsid w:val="0069566F"/>
    <w:rsid w:val="0069580D"/>
    <w:rsid w:val="00695F70"/>
    <w:rsid w:val="00696F8A"/>
    <w:rsid w:val="006A037C"/>
    <w:rsid w:val="006A0ABC"/>
    <w:rsid w:val="006A1213"/>
    <w:rsid w:val="006A1923"/>
    <w:rsid w:val="006A19CA"/>
    <w:rsid w:val="006A2510"/>
    <w:rsid w:val="006A2ECF"/>
    <w:rsid w:val="006A30B0"/>
    <w:rsid w:val="006A3234"/>
    <w:rsid w:val="006A343B"/>
    <w:rsid w:val="006A378F"/>
    <w:rsid w:val="006A3BFB"/>
    <w:rsid w:val="006A428E"/>
    <w:rsid w:val="006A4734"/>
    <w:rsid w:val="006A689E"/>
    <w:rsid w:val="006A6948"/>
    <w:rsid w:val="006A712D"/>
    <w:rsid w:val="006B0029"/>
    <w:rsid w:val="006B0DBE"/>
    <w:rsid w:val="006B2166"/>
    <w:rsid w:val="006B2C2B"/>
    <w:rsid w:val="006B537C"/>
    <w:rsid w:val="006B6B00"/>
    <w:rsid w:val="006B6D96"/>
    <w:rsid w:val="006B7641"/>
    <w:rsid w:val="006B7A95"/>
    <w:rsid w:val="006C098A"/>
    <w:rsid w:val="006C0ED3"/>
    <w:rsid w:val="006C2056"/>
    <w:rsid w:val="006C2536"/>
    <w:rsid w:val="006C2640"/>
    <w:rsid w:val="006C2D18"/>
    <w:rsid w:val="006C3508"/>
    <w:rsid w:val="006C4096"/>
    <w:rsid w:val="006C464B"/>
    <w:rsid w:val="006C4801"/>
    <w:rsid w:val="006C4DCB"/>
    <w:rsid w:val="006C65BE"/>
    <w:rsid w:val="006C6B22"/>
    <w:rsid w:val="006C7258"/>
    <w:rsid w:val="006D0345"/>
    <w:rsid w:val="006D0A04"/>
    <w:rsid w:val="006D1D54"/>
    <w:rsid w:val="006D29CB"/>
    <w:rsid w:val="006D2B89"/>
    <w:rsid w:val="006D3FD7"/>
    <w:rsid w:val="006D4A7F"/>
    <w:rsid w:val="006D5578"/>
    <w:rsid w:val="006D5F33"/>
    <w:rsid w:val="006D616C"/>
    <w:rsid w:val="006D7D5E"/>
    <w:rsid w:val="006E0143"/>
    <w:rsid w:val="006E07CF"/>
    <w:rsid w:val="006E09AD"/>
    <w:rsid w:val="006E0B4D"/>
    <w:rsid w:val="006E0ED7"/>
    <w:rsid w:val="006E16C7"/>
    <w:rsid w:val="006E21E5"/>
    <w:rsid w:val="006E258D"/>
    <w:rsid w:val="006E27D6"/>
    <w:rsid w:val="006E3128"/>
    <w:rsid w:val="006E38A3"/>
    <w:rsid w:val="006E3919"/>
    <w:rsid w:val="006E4096"/>
    <w:rsid w:val="006E45EF"/>
    <w:rsid w:val="006E490C"/>
    <w:rsid w:val="006E4ADA"/>
    <w:rsid w:val="006E4BA4"/>
    <w:rsid w:val="006E5031"/>
    <w:rsid w:val="006E50B2"/>
    <w:rsid w:val="006E52D9"/>
    <w:rsid w:val="006E56C8"/>
    <w:rsid w:val="006E69CD"/>
    <w:rsid w:val="006E6D1F"/>
    <w:rsid w:val="006E6DBA"/>
    <w:rsid w:val="006E7209"/>
    <w:rsid w:val="006F06B9"/>
    <w:rsid w:val="006F0A6A"/>
    <w:rsid w:val="006F0A8C"/>
    <w:rsid w:val="006F0D2A"/>
    <w:rsid w:val="006F1017"/>
    <w:rsid w:val="006F10D9"/>
    <w:rsid w:val="006F10EF"/>
    <w:rsid w:val="006F12C4"/>
    <w:rsid w:val="006F15CC"/>
    <w:rsid w:val="006F1670"/>
    <w:rsid w:val="006F18F5"/>
    <w:rsid w:val="006F1940"/>
    <w:rsid w:val="006F20D2"/>
    <w:rsid w:val="006F3123"/>
    <w:rsid w:val="006F3543"/>
    <w:rsid w:val="006F3DF2"/>
    <w:rsid w:val="006F4428"/>
    <w:rsid w:val="006F49CA"/>
    <w:rsid w:val="006F51A5"/>
    <w:rsid w:val="006F6103"/>
    <w:rsid w:val="006F6715"/>
    <w:rsid w:val="006F6F23"/>
    <w:rsid w:val="006F7009"/>
    <w:rsid w:val="006F71E9"/>
    <w:rsid w:val="006F7533"/>
    <w:rsid w:val="006F7F72"/>
    <w:rsid w:val="00700281"/>
    <w:rsid w:val="007007F7"/>
    <w:rsid w:val="00700841"/>
    <w:rsid w:val="00700E3F"/>
    <w:rsid w:val="00700F23"/>
    <w:rsid w:val="00701BB5"/>
    <w:rsid w:val="00701EE5"/>
    <w:rsid w:val="007024DC"/>
    <w:rsid w:val="007026AB"/>
    <w:rsid w:val="00702971"/>
    <w:rsid w:val="00702C45"/>
    <w:rsid w:val="00703172"/>
    <w:rsid w:val="007032CB"/>
    <w:rsid w:val="00703A62"/>
    <w:rsid w:val="00703CF3"/>
    <w:rsid w:val="007041F6"/>
    <w:rsid w:val="00704986"/>
    <w:rsid w:val="00705599"/>
    <w:rsid w:val="0070577C"/>
    <w:rsid w:val="00706FBD"/>
    <w:rsid w:val="0070716C"/>
    <w:rsid w:val="0070788E"/>
    <w:rsid w:val="00707B92"/>
    <w:rsid w:val="00707E0B"/>
    <w:rsid w:val="007100DF"/>
    <w:rsid w:val="007101EA"/>
    <w:rsid w:val="007106A3"/>
    <w:rsid w:val="0071305A"/>
    <w:rsid w:val="00713FF3"/>
    <w:rsid w:val="00714188"/>
    <w:rsid w:val="007141CD"/>
    <w:rsid w:val="007149EB"/>
    <w:rsid w:val="00714B89"/>
    <w:rsid w:val="00714FD2"/>
    <w:rsid w:val="00715130"/>
    <w:rsid w:val="007152AB"/>
    <w:rsid w:val="0071591C"/>
    <w:rsid w:val="00716073"/>
    <w:rsid w:val="00716AF5"/>
    <w:rsid w:val="00716BF0"/>
    <w:rsid w:val="007174C7"/>
    <w:rsid w:val="00717E17"/>
    <w:rsid w:val="007203BF"/>
    <w:rsid w:val="00720711"/>
    <w:rsid w:val="00720FA8"/>
    <w:rsid w:val="007212F8"/>
    <w:rsid w:val="0072135E"/>
    <w:rsid w:val="007225AB"/>
    <w:rsid w:val="00722CB8"/>
    <w:rsid w:val="00723467"/>
    <w:rsid w:val="00723582"/>
    <w:rsid w:val="0072391A"/>
    <w:rsid w:val="00723E95"/>
    <w:rsid w:val="00723FCF"/>
    <w:rsid w:val="0072555D"/>
    <w:rsid w:val="00725BA6"/>
    <w:rsid w:val="0072679B"/>
    <w:rsid w:val="007271EE"/>
    <w:rsid w:val="0072798F"/>
    <w:rsid w:val="00727AD3"/>
    <w:rsid w:val="00727AF6"/>
    <w:rsid w:val="007305A5"/>
    <w:rsid w:val="007308D8"/>
    <w:rsid w:val="00730B39"/>
    <w:rsid w:val="00731453"/>
    <w:rsid w:val="00731943"/>
    <w:rsid w:val="00732F67"/>
    <w:rsid w:val="00732FEE"/>
    <w:rsid w:val="0073340F"/>
    <w:rsid w:val="0073418C"/>
    <w:rsid w:val="00734548"/>
    <w:rsid w:val="0073525A"/>
    <w:rsid w:val="0073555A"/>
    <w:rsid w:val="00735E8E"/>
    <w:rsid w:val="007370F5"/>
    <w:rsid w:val="00737559"/>
    <w:rsid w:val="00737CBA"/>
    <w:rsid w:val="00737E3C"/>
    <w:rsid w:val="00737EE7"/>
    <w:rsid w:val="007407C0"/>
    <w:rsid w:val="00740A3B"/>
    <w:rsid w:val="00740D37"/>
    <w:rsid w:val="00740F70"/>
    <w:rsid w:val="00741963"/>
    <w:rsid w:val="00741B63"/>
    <w:rsid w:val="00741F5A"/>
    <w:rsid w:val="007424E7"/>
    <w:rsid w:val="00742D3B"/>
    <w:rsid w:val="00743511"/>
    <w:rsid w:val="00743573"/>
    <w:rsid w:val="0074368E"/>
    <w:rsid w:val="00743CCE"/>
    <w:rsid w:val="00743D4E"/>
    <w:rsid w:val="00744438"/>
    <w:rsid w:val="00744EE8"/>
    <w:rsid w:val="00745F7C"/>
    <w:rsid w:val="00746186"/>
    <w:rsid w:val="0074642A"/>
    <w:rsid w:val="00746720"/>
    <w:rsid w:val="00746722"/>
    <w:rsid w:val="00746DFC"/>
    <w:rsid w:val="007473CF"/>
    <w:rsid w:val="00747811"/>
    <w:rsid w:val="00747CC2"/>
    <w:rsid w:val="007515F1"/>
    <w:rsid w:val="007518F9"/>
    <w:rsid w:val="00752044"/>
    <w:rsid w:val="007522D0"/>
    <w:rsid w:val="0075249A"/>
    <w:rsid w:val="00752E1C"/>
    <w:rsid w:val="00753086"/>
    <w:rsid w:val="0075369E"/>
    <w:rsid w:val="00753708"/>
    <w:rsid w:val="00754E51"/>
    <w:rsid w:val="00754EE3"/>
    <w:rsid w:val="007552BC"/>
    <w:rsid w:val="007555E0"/>
    <w:rsid w:val="00755DEA"/>
    <w:rsid w:val="00756048"/>
    <w:rsid w:val="007569B8"/>
    <w:rsid w:val="007574D4"/>
    <w:rsid w:val="00760186"/>
    <w:rsid w:val="00760FE1"/>
    <w:rsid w:val="0076166D"/>
    <w:rsid w:val="007623F9"/>
    <w:rsid w:val="00762873"/>
    <w:rsid w:val="007629A6"/>
    <w:rsid w:val="00763069"/>
    <w:rsid w:val="00763207"/>
    <w:rsid w:val="007632DA"/>
    <w:rsid w:val="007633F1"/>
    <w:rsid w:val="00763FCB"/>
    <w:rsid w:val="007644D1"/>
    <w:rsid w:val="00765D19"/>
    <w:rsid w:val="00765FC3"/>
    <w:rsid w:val="0076604D"/>
    <w:rsid w:val="0076726D"/>
    <w:rsid w:val="00767293"/>
    <w:rsid w:val="007674DD"/>
    <w:rsid w:val="007675AE"/>
    <w:rsid w:val="007709FE"/>
    <w:rsid w:val="00770AB2"/>
    <w:rsid w:val="00770E47"/>
    <w:rsid w:val="0077117D"/>
    <w:rsid w:val="0077164D"/>
    <w:rsid w:val="00771EF8"/>
    <w:rsid w:val="00772E09"/>
    <w:rsid w:val="00773C8E"/>
    <w:rsid w:val="00773E3D"/>
    <w:rsid w:val="00774008"/>
    <w:rsid w:val="00774207"/>
    <w:rsid w:val="007744FF"/>
    <w:rsid w:val="00774A6D"/>
    <w:rsid w:val="00775C79"/>
    <w:rsid w:val="00775C9A"/>
    <w:rsid w:val="007769EE"/>
    <w:rsid w:val="00776A1A"/>
    <w:rsid w:val="00776DD0"/>
    <w:rsid w:val="00776FCF"/>
    <w:rsid w:val="007773E8"/>
    <w:rsid w:val="00780C1E"/>
    <w:rsid w:val="00780CFC"/>
    <w:rsid w:val="0078162E"/>
    <w:rsid w:val="00781A1F"/>
    <w:rsid w:val="00781A93"/>
    <w:rsid w:val="00781BB9"/>
    <w:rsid w:val="0078261B"/>
    <w:rsid w:val="007832D6"/>
    <w:rsid w:val="00783778"/>
    <w:rsid w:val="00783C41"/>
    <w:rsid w:val="00783F50"/>
    <w:rsid w:val="00783FB5"/>
    <w:rsid w:val="007841E0"/>
    <w:rsid w:val="007849F5"/>
    <w:rsid w:val="00784D54"/>
    <w:rsid w:val="00784FFF"/>
    <w:rsid w:val="00785059"/>
    <w:rsid w:val="00785442"/>
    <w:rsid w:val="0078627F"/>
    <w:rsid w:val="00786AE1"/>
    <w:rsid w:val="00787FD7"/>
    <w:rsid w:val="00790582"/>
    <w:rsid w:val="00790E1A"/>
    <w:rsid w:val="00790F04"/>
    <w:rsid w:val="00790F2B"/>
    <w:rsid w:val="00791977"/>
    <w:rsid w:val="00791D71"/>
    <w:rsid w:val="007923F8"/>
    <w:rsid w:val="00792459"/>
    <w:rsid w:val="00792875"/>
    <w:rsid w:val="00792CFA"/>
    <w:rsid w:val="00792F15"/>
    <w:rsid w:val="007930B5"/>
    <w:rsid w:val="007932D8"/>
    <w:rsid w:val="0079382E"/>
    <w:rsid w:val="00793905"/>
    <w:rsid w:val="00793FF1"/>
    <w:rsid w:val="00794775"/>
    <w:rsid w:val="00794A79"/>
    <w:rsid w:val="00795404"/>
    <w:rsid w:val="0079550C"/>
    <w:rsid w:val="00795D2A"/>
    <w:rsid w:val="00796263"/>
    <w:rsid w:val="00796896"/>
    <w:rsid w:val="007973CD"/>
    <w:rsid w:val="00797B4C"/>
    <w:rsid w:val="007A0381"/>
    <w:rsid w:val="007A06CD"/>
    <w:rsid w:val="007A0741"/>
    <w:rsid w:val="007A0ED6"/>
    <w:rsid w:val="007A1FD8"/>
    <w:rsid w:val="007A2E06"/>
    <w:rsid w:val="007A2E10"/>
    <w:rsid w:val="007A34E4"/>
    <w:rsid w:val="007A4248"/>
    <w:rsid w:val="007A4C7E"/>
    <w:rsid w:val="007A5905"/>
    <w:rsid w:val="007A68E3"/>
    <w:rsid w:val="007A700A"/>
    <w:rsid w:val="007A7357"/>
    <w:rsid w:val="007A781A"/>
    <w:rsid w:val="007B0001"/>
    <w:rsid w:val="007B0E94"/>
    <w:rsid w:val="007B1133"/>
    <w:rsid w:val="007B1B08"/>
    <w:rsid w:val="007B1C90"/>
    <w:rsid w:val="007B21D2"/>
    <w:rsid w:val="007B28FF"/>
    <w:rsid w:val="007B4064"/>
    <w:rsid w:val="007B4E3E"/>
    <w:rsid w:val="007B4F37"/>
    <w:rsid w:val="007B50B3"/>
    <w:rsid w:val="007B5362"/>
    <w:rsid w:val="007B54E1"/>
    <w:rsid w:val="007B5B9D"/>
    <w:rsid w:val="007B6287"/>
    <w:rsid w:val="007B64AB"/>
    <w:rsid w:val="007B689A"/>
    <w:rsid w:val="007B6C61"/>
    <w:rsid w:val="007C060A"/>
    <w:rsid w:val="007C0A20"/>
    <w:rsid w:val="007C0DE1"/>
    <w:rsid w:val="007C0FB2"/>
    <w:rsid w:val="007C11B7"/>
    <w:rsid w:val="007C1AB7"/>
    <w:rsid w:val="007C1D12"/>
    <w:rsid w:val="007C28E2"/>
    <w:rsid w:val="007C2D26"/>
    <w:rsid w:val="007C39AE"/>
    <w:rsid w:val="007C4013"/>
    <w:rsid w:val="007C4253"/>
    <w:rsid w:val="007C4AC7"/>
    <w:rsid w:val="007C4AF3"/>
    <w:rsid w:val="007C5C22"/>
    <w:rsid w:val="007C5C4E"/>
    <w:rsid w:val="007C6077"/>
    <w:rsid w:val="007C6B32"/>
    <w:rsid w:val="007C7559"/>
    <w:rsid w:val="007D0443"/>
    <w:rsid w:val="007D0546"/>
    <w:rsid w:val="007D0E2D"/>
    <w:rsid w:val="007D1BA2"/>
    <w:rsid w:val="007D26E9"/>
    <w:rsid w:val="007D2A09"/>
    <w:rsid w:val="007D2A18"/>
    <w:rsid w:val="007D2D93"/>
    <w:rsid w:val="007D2F79"/>
    <w:rsid w:val="007D33FD"/>
    <w:rsid w:val="007D3B4F"/>
    <w:rsid w:val="007D3D0E"/>
    <w:rsid w:val="007D4B7E"/>
    <w:rsid w:val="007D5BAF"/>
    <w:rsid w:val="007D663D"/>
    <w:rsid w:val="007D67A7"/>
    <w:rsid w:val="007D67C8"/>
    <w:rsid w:val="007D707E"/>
    <w:rsid w:val="007D7326"/>
    <w:rsid w:val="007D76AD"/>
    <w:rsid w:val="007D7CF3"/>
    <w:rsid w:val="007E036F"/>
    <w:rsid w:val="007E1E24"/>
    <w:rsid w:val="007E25F5"/>
    <w:rsid w:val="007E28B5"/>
    <w:rsid w:val="007E3209"/>
    <w:rsid w:val="007E3D5E"/>
    <w:rsid w:val="007E3E71"/>
    <w:rsid w:val="007E439A"/>
    <w:rsid w:val="007E44C1"/>
    <w:rsid w:val="007E4C2B"/>
    <w:rsid w:val="007E4D6D"/>
    <w:rsid w:val="007E6AD1"/>
    <w:rsid w:val="007E7086"/>
    <w:rsid w:val="007E7A61"/>
    <w:rsid w:val="007F0ADD"/>
    <w:rsid w:val="007F0D7F"/>
    <w:rsid w:val="007F0DD2"/>
    <w:rsid w:val="007F0F60"/>
    <w:rsid w:val="007F27CA"/>
    <w:rsid w:val="007F283E"/>
    <w:rsid w:val="007F316A"/>
    <w:rsid w:val="007F3505"/>
    <w:rsid w:val="007F36BA"/>
    <w:rsid w:val="007F425E"/>
    <w:rsid w:val="007F46A4"/>
    <w:rsid w:val="007F47BE"/>
    <w:rsid w:val="007F50DE"/>
    <w:rsid w:val="007F5D34"/>
    <w:rsid w:val="007F6BB5"/>
    <w:rsid w:val="007F6C0F"/>
    <w:rsid w:val="008006C1"/>
    <w:rsid w:val="00800AA3"/>
    <w:rsid w:val="008011AD"/>
    <w:rsid w:val="00802696"/>
    <w:rsid w:val="00802BE7"/>
    <w:rsid w:val="00802CF8"/>
    <w:rsid w:val="008036BB"/>
    <w:rsid w:val="0080370B"/>
    <w:rsid w:val="0080375D"/>
    <w:rsid w:val="00804BA8"/>
    <w:rsid w:val="00804C0C"/>
    <w:rsid w:val="00804DE7"/>
    <w:rsid w:val="00804EA8"/>
    <w:rsid w:val="00805168"/>
    <w:rsid w:val="0080587C"/>
    <w:rsid w:val="0080591F"/>
    <w:rsid w:val="00805934"/>
    <w:rsid w:val="00806361"/>
    <w:rsid w:val="008064DD"/>
    <w:rsid w:val="008075B9"/>
    <w:rsid w:val="00807628"/>
    <w:rsid w:val="008079AA"/>
    <w:rsid w:val="0080A614"/>
    <w:rsid w:val="008107AD"/>
    <w:rsid w:val="008137C6"/>
    <w:rsid w:val="00813BF1"/>
    <w:rsid w:val="00814382"/>
    <w:rsid w:val="008143E3"/>
    <w:rsid w:val="0081453D"/>
    <w:rsid w:val="008145FB"/>
    <w:rsid w:val="00814EE3"/>
    <w:rsid w:val="00815641"/>
    <w:rsid w:val="00815703"/>
    <w:rsid w:val="00816DC4"/>
    <w:rsid w:val="00816DFD"/>
    <w:rsid w:val="00817331"/>
    <w:rsid w:val="00817737"/>
    <w:rsid w:val="008204FE"/>
    <w:rsid w:val="0082085F"/>
    <w:rsid w:val="0082159C"/>
    <w:rsid w:val="00821DA7"/>
    <w:rsid w:val="00824300"/>
    <w:rsid w:val="00824536"/>
    <w:rsid w:val="00824AF4"/>
    <w:rsid w:val="008254C3"/>
    <w:rsid w:val="0082673A"/>
    <w:rsid w:val="008267D4"/>
    <w:rsid w:val="0082727B"/>
    <w:rsid w:val="0082765C"/>
    <w:rsid w:val="008277DC"/>
    <w:rsid w:val="00830913"/>
    <w:rsid w:val="0083106E"/>
    <w:rsid w:val="008310FD"/>
    <w:rsid w:val="0083177C"/>
    <w:rsid w:val="0083222F"/>
    <w:rsid w:val="00832242"/>
    <w:rsid w:val="00832514"/>
    <w:rsid w:val="00832C15"/>
    <w:rsid w:val="00832D12"/>
    <w:rsid w:val="00833148"/>
    <w:rsid w:val="00833E5D"/>
    <w:rsid w:val="008343A3"/>
    <w:rsid w:val="008343E8"/>
    <w:rsid w:val="00834A9F"/>
    <w:rsid w:val="00834BE9"/>
    <w:rsid w:val="00834D86"/>
    <w:rsid w:val="00835881"/>
    <w:rsid w:val="008362F6"/>
    <w:rsid w:val="00836BD8"/>
    <w:rsid w:val="00836D85"/>
    <w:rsid w:val="00836F2D"/>
    <w:rsid w:val="00837814"/>
    <w:rsid w:val="00837B5A"/>
    <w:rsid w:val="008400F8"/>
    <w:rsid w:val="00840948"/>
    <w:rsid w:val="00840C59"/>
    <w:rsid w:val="00840D9E"/>
    <w:rsid w:val="00840FFE"/>
    <w:rsid w:val="0084113C"/>
    <w:rsid w:val="008415FA"/>
    <w:rsid w:val="00842114"/>
    <w:rsid w:val="00842C8A"/>
    <w:rsid w:val="00842C95"/>
    <w:rsid w:val="00843B5B"/>
    <w:rsid w:val="00844377"/>
    <w:rsid w:val="008443B8"/>
    <w:rsid w:val="00844BC3"/>
    <w:rsid w:val="0084597A"/>
    <w:rsid w:val="00845CC3"/>
    <w:rsid w:val="008461DD"/>
    <w:rsid w:val="00846A90"/>
    <w:rsid w:val="00846B7F"/>
    <w:rsid w:val="00846C66"/>
    <w:rsid w:val="00847393"/>
    <w:rsid w:val="008474F7"/>
    <w:rsid w:val="00847DC7"/>
    <w:rsid w:val="008508D3"/>
    <w:rsid w:val="008509E9"/>
    <w:rsid w:val="00850BE4"/>
    <w:rsid w:val="008511DF"/>
    <w:rsid w:val="00851401"/>
    <w:rsid w:val="00851450"/>
    <w:rsid w:val="00851BF6"/>
    <w:rsid w:val="00851E83"/>
    <w:rsid w:val="00851F6E"/>
    <w:rsid w:val="0085208D"/>
    <w:rsid w:val="008521CD"/>
    <w:rsid w:val="00852B5E"/>
    <w:rsid w:val="00852D35"/>
    <w:rsid w:val="00853688"/>
    <w:rsid w:val="00853A29"/>
    <w:rsid w:val="008540AA"/>
    <w:rsid w:val="00854F01"/>
    <w:rsid w:val="00854F08"/>
    <w:rsid w:val="008562D7"/>
    <w:rsid w:val="00857C7F"/>
    <w:rsid w:val="008603BF"/>
    <w:rsid w:val="00860A48"/>
    <w:rsid w:val="00860C51"/>
    <w:rsid w:val="00860C56"/>
    <w:rsid w:val="00861552"/>
    <w:rsid w:val="00861618"/>
    <w:rsid w:val="00861FB0"/>
    <w:rsid w:val="00862ABB"/>
    <w:rsid w:val="00862C39"/>
    <w:rsid w:val="00862E05"/>
    <w:rsid w:val="00863A47"/>
    <w:rsid w:val="0086413E"/>
    <w:rsid w:val="00864772"/>
    <w:rsid w:val="00864824"/>
    <w:rsid w:val="00864C2B"/>
    <w:rsid w:val="00866088"/>
    <w:rsid w:val="008662FD"/>
    <w:rsid w:val="008665F5"/>
    <w:rsid w:val="0086688B"/>
    <w:rsid w:val="00867AB6"/>
    <w:rsid w:val="0087052A"/>
    <w:rsid w:val="00870537"/>
    <w:rsid w:val="008706B8"/>
    <w:rsid w:val="00871445"/>
    <w:rsid w:val="00873141"/>
    <w:rsid w:val="00873AB5"/>
    <w:rsid w:val="00873EEC"/>
    <w:rsid w:val="00873EFA"/>
    <w:rsid w:val="0087440A"/>
    <w:rsid w:val="00874B03"/>
    <w:rsid w:val="00874D51"/>
    <w:rsid w:val="00874DF0"/>
    <w:rsid w:val="008753C0"/>
    <w:rsid w:val="008771D6"/>
    <w:rsid w:val="00877227"/>
    <w:rsid w:val="00877581"/>
    <w:rsid w:val="00880B58"/>
    <w:rsid w:val="008812E0"/>
    <w:rsid w:val="0088143B"/>
    <w:rsid w:val="008815D5"/>
    <w:rsid w:val="00881F10"/>
    <w:rsid w:val="00882B3D"/>
    <w:rsid w:val="00882F65"/>
    <w:rsid w:val="00883877"/>
    <w:rsid w:val="008839DF"/>
    <w:rsid w:val="00883C54"/>
    <w:rsid w:val="008850A4"/>
    <w:rsid w:val="008856E8"/>
    <w:rsid w:val="00885723"/>
    <w:rsid w:val="008857E5"/>
    <w:rsid w:val="00885CB4"/>
    <w:rsid w:val="00885D6E"/>
    <w:rsid w:val="00885DB8"/>
    <w:rsid w:val="00886401"/>
    <w:rsid w:val="00886C98"/>
    <w:rsid w:val="00886F69"/>
    <w:rsid w:val="0088787C"/>
    <w:rsid w:val="00887D7E"/>
    <w:rsid w:val="00887E8C"/>
    <w:rsid w:val="0089045A"/>
    <w:rsid w:val="008908A9"/>
    <w:rsid w:val="0089193E"/>
    <w:rsid w:val="00891AB6"/>
    <w:rsid w:val="00891FC2"/>
    <w:rsid w:val="008921D1"/>
    <w:rsid w:val="00892225"/>
    <w:rsid w:val="008922ED"/>
    <w:rsid w:val="00892318"/>
    <w:rsid w:val="00893403"/>
    <w:rsid w:val="00893520"/>
    <w:rsid w:val="00893C7F"/>
    <w:rsid w:val="00894CA4"/>
    <w:rsid w:val="00894E07"/>
    <w:rsid w:val="008957EC"/>
    <w:rsid w:val="00895A25"/>
    <w:rsid w:val="00895DE7"/>
    <w:rsid w:val="00896352"/>
    <w:rsid w:val="00896E9F"/>
    <w:rsid w:val="00897150"/>
    <w:rsid w:val="00897F86"/>
    <w:rsid w:val="00897FC7"/>
    <w:rsid w:val="008A0E94"/>
    <w:rsid w:val="008A0FBC"/>
    <w:rsid w:val="008A140F"/>
    <w:rsid w:val="008A2097"/>
    <w:rsid w:val="008A2132"/>
    <w:rsid w:val="008A34F9"/>
    <w:rsid w:val="008A4030"/>
    <w:rsid w:val="008A4326"/>
    <w:rsid w:val="008A5166"/>
    <w:rsid w:val="008A5179"/>
    <w:rsid w:val="008A538B"/>
    <w:rsid w:val="008A53BD"/>
    <w:rsid w:val="008A5E73"/>
    <w:rsid w:val="008A6574"/>
    <w:rsid w:val="008A69F1"/>
    <w:rsid w:val="008A6F77"/>
    <w:rsid w:val="008A72E9"/>
    <w:rsid w:val="008A7932"/>
    <w:rsid w:val="008B0218"/>
    <w:rsid w:val="008B1955"/>
    <w:rsid w:val="008B20B0"/>
    <w:rsid w:val="008B230A"/>
    <w:rsid w:val="008B246E"/>
    <w:rsid w:val="008B27AA"/>
    <w:rsid w:val="008B2E6D"/>
    <w:rsid w:val="008B335E"/>
    <w:rsid w:val="008B35AF"/>
    <w:rsid w:val="008B4649"/>
    <w:rsid w:val="008B4BA4"/>
    <w:rsid w:val="008B4CBB"/>
    <w:rsid w:val="008B4D3C"/>
    <w:rsid w:val="008B668E"/>
    <w:rsid w:val="008B74B1"/>
    <w:rsid w:val="008B7516"/>
    <w:rsid w:val="008B7A67"/>
    <w:rsid w:val="008C0316"/>
    <w:rsid w:val="008C049F"/>
    <w:rsid w:val="008C0895"/>
    <w:rsid w:val="008C1DB6"/>
    <w:rsid w:val="008C1DF6"/>
    <w:rsid w:val="008C21CC"/>
    <w:rsid w:val="008C249A"/>
    <w:rsid w:val="008C277B"/>
    <w:rsid w:val="008C2A33"/>
    <w:rsid w:val="008C3FA3"/>
    <w:rsid w:val="008C496E"/>
    <w:rsid w:val="008C49B2"/>
    <w:rsid w:val="008C4ABC"/>
    <w:rsid w:val="008C5BA8"/>
    <w:rsid w:val="008C5D09"/>
    <w:rsid w:val="008C68BF"/>
    <w:rsid w:val="008C7B2F"/>
    <w:rsid w:val="008D05F4"/>
    <w:rsid w:val="008D0647"/>
    <w:rsid w:val="008D0DC1"/>
    <w:rsid w:val="008D101C"/>
    <w:rsid w:val="008D156B"/>
    <w:rsid w:val="008D1C8E"/>
    <w:rsid w:val="008D2934"/>
    <w:rsid w:val="008D312C"/>
    <w:rsid w:val="008D3E57"/>
    <w:rsid w:val="008D460C"/>
    <w:rsid w:val="008D49DA"/>
    <w:rsid w:val="008D4D86"/>
    <w:rsid w:val="008D4F8C"/>
    <w:rsid w:val="008D4FC5"/>
    <w:rsid w:val="008D59F2"/>
    <w:rsid w:val="008D6726"/>
    <w:rsid w:val="008D74DE"/>
    <w:rsid w:val="008E04A0"/>
    <w:rsid w:val="008E0A5B"/>
    <w:rsid w:val="008E0E0D"/>
    <w:rsid w:val="008E0FE7"/>
    <w:rsid w:val="008E10B0"/>
    <w:rsid w:val="008E17B9"/>
    <w:rsid w:val="008E1A61"/>
    <w:rsid w:val="008E1CD6"/>
    <w:rsid w:val="008E2648"/>
    <w:rsid w:val="008E3570"/>
    <w:rsid w:val="008E4678"/>
    <w:rsid w:val="008E4B7E"/>
    <w:rsid w:val="008E5620"/>
    <w:rsid w:val="008E79E9"/>
    <w:rsid w:val="008E7C4B"/>
    <w:rsid w:val="008F02B6"/>
    <w:rsid w:val="008F04D7"/>
    <w:rsid w:val="008F16CA"/>
    <w:rsid w:val="008F24D5"/>
    <w:rsid w:val="008F2941"/>
    <w:rsid w:val="008F2B95"/>
    <w:rsid w:val="008F3296"/>
    <w:rsid w:val="008F3750"/>
    <w:rsid w:val="008F3BCE"/>
    <w:rsid w:val="008F421A"/>
    <w:rsid w:val="008F4D7A"/>
    <w:rsid w:val="008F5049"/>
    <w:rsid w:val="008F5808"/>
    <w:rsid w:val="008F58F4"/>
    <w:rsid w:val="008F61D1"/>
    <w:rsid w:val="008F751C"/>
    <w:rsid w:val="008F7CA5"/>
    <w:rsid w:val="00900592"/>
    <w:rsid w:val="0090087D"/>
    <w:rsid w:val="00900B59"/>
    <w:rsid w:val="00900EDA"/>
    <w:rsid w:val="009019C1"/>
    <w:rsid w:val="00902468"/>
    <w:rsid w:val="009029BA"/>
    <w:rsid w:val="00902A94"/>
    <w:rsid w:val="00903261"/>
    <w:rsid w:val="00904F88"/>
    <w:rsid w:val="00906BC0"/>
    <w:rsid w:val="0090784A"/>
    <w:rsid w:val="00907C9D"/>
    <w:rsid w:val="00910149"/>
    <w:rsid w:val="00910571"/>
    <w:rsid w:val="0091063F"/>
    <w:rsid w:val="009110F6"/>
    <w:rsid w:val="00911100"/>
    <w:rsid w:val="00912DEC"/>
    <w:rsid w:val="009137E6"/>
    <w:rsid w:val="00913AF1"/>
    <w:rsid w:val="00913B16"/>
    <w:rsid w:val="00914C02"/>
    <w:rsid w:val="00914C4F"/>
    <w:rsid w:val="00914F13"/>
    <w:rsid w:val="009154E4"/>
    <w:rsid w:val="0091573E"/>
    <w:rsid w:val="00915C98"/>
    <w:rsid w:val="0091620F"/>
    <w:rsid w:val="00916A23"/>
    <w:rsid w:val="00917B37"/>
    <w:rsid w:val="00917EF6"/>
    <w:rsid w:val="009200DA"/>
    <w:rsid w:val="0092064C"/>
    <w:rsid w:val="009219D2"/>
    <w:rsid w:val="00922099"/>
    <w:rsid w:val="009225B8"/>
    <w:rsid w:val="00923036"/>
    <w:rsid w:val="009239D2"/>
    <w:rsid w:val="00923CD8"/>
    <w:rsid w:val="0092414A"/>
    <w:rsid w:val="00925414"/>
    <w:rsid w:val="0092570A"/>
    <w:rsid w:val="00926387"/>
    <w:rsid w:val="009271AB"/>
    <w:rsid w:val="009274A8"/>
    <w:rsid w:val="00930CBA"/>
    <w:rsid w:val="00930D66"/>
    <w:rsid w:val="00931483"/>
    <w:rsid w:val="00931879"/>
    <w:rsid w:val="00932669"/>
    <w:rsid w:val="00932B8D"/>
    <w:rsid w:val="0093308B"/>
    <w:rsid w:val="009342E8"/>
    <w:rsid w:val="0093460C"/>
    <w:rsid w:val="009349FF"/>
    <w:rsid w:val="00934AF3"/>
    <w:rsid w:val="009354B9"/>
    <w:rsid w:val="0093573D"/>
    <w:rsid w:val="00936F75"/>
    <w:rsid w:val="00937220"/>
    <w:rsid w:val="00937238"/>
    <w:rsid w:val="00937A4A"/>
    <w:rsid w:val="00937C98"/>
    <w:rsid w:val="009400EE"/>
    <w:rsid w:val="00940CF3"/>
    <w:rsid w:val="009410F0"/>
    <w:rsid w:val="0094150D"/>
    <w:rsid w:val="00941E2A"/>
    <w:rsid w:val="009425FD"/>
    <w:rsid w:val="00942994"/>
    <w:rsid w:val="00942C63"/>
    <w:rsid w:val="009432FC"/>
    <w:rsid w:val="00944908"/>
    <w:rsid w:val="009449B1"/>
    <w:rsid w:val="009451E5"/>
    <w:rsid w:val="0094529D"/>
    <w:rsid w:val="00945A41"/>
    <w:rsid w:val="009463D4"/>
    <w:rsid w:val="009464C0"/>
    <w:rsid w:val="009466D9"/>
    <w:rsid w:val="00946A84"/>
    <w:rsid w:val="009476C5"/>
    <w:rsid w:val="009510D0"/>
    <w:rsid w:val="0095135A"/>
    <w:rsid w:val="00951380"/>
    <w:rsid w:val="009515D3"/>
    <w:rsid w:val="00951833"/>
    <w:rsid w:val="009518A5"/>
    <w:rsid w:val="00951B29"/>
    <w:rsid w:val="00951C26"/>
    <w:rsid w:val="00951EBC"/>
    <w:rsid w:val="00951FAD"/>
    <w:rsid w:val="0095227A"/>
    <w:rsid w:val="00952423"/>
    <w:rsid w:val="009526F2"/>
    <w:rsid w:val="00952BFA"/>
    <w:rsid w:val="00952E76"/>
    <w:rsid w:val="0095339D"/>
    <w:rsid w:val="0095342D"/>
    <w:rsid w:val="00953DDC"/>
    <w:rsid w:val="009544A8"/>
    <w:rsid w:val="009550B5"/>
    <w:rsid w:val="0095551D"/>
    <w:rsid w:val="00955A9D"/>
    <w:rsid w:val="0095632B"/>
    <w:rsid w:val="00956784"/>
    <w:rsid w:val="00956E15"/>
    <w:rsid w:val="009570FF"/>
    <w:rsid w:val="00960171"/>
    <w:rsid w:val="0096021F"/>
    <w:rsid w:val="00960BD2"/>
    <w:rsid w:val="00960BD7"/>
    <w:rsid w:val="00960DF5"/>
    <w:rsid w:val="00961613"/>
    <w:rsid w:val="00961DF7"/>
    <w:rsid w:val="009624D8"/>
    <w:rsid w:val="00962FDD"/>
    <w:rsid w:val="0096306E"/>
    <w:rsid w:val="009633E7"/>
    <w:rsid w:val="009635D9"/>
    <w:rsid w:val="009637AE"/>
    <w:rsid w:val="00963E77"/>
    <w:rsid w:val="0096417F"/>
    <w:rsid w:val="009643AF"/>
    <w:rsid w:val="009645D7"/>
    <w:rsid w:val="00964BDC"/>
    <w:rsid w:val="00964C64"/>
    <w:rsid w:val="00965609"/>
    <w:rsid w:val="00965F12"/>
    <w:rsid w:val="0096664E"/>
    <w:rsid w:val="00966A51"/>
    <w:rsid w:val="00966B58"/>
    <w:rsid w:val="00967394"/>
    <w:rsid w:val="00967516"/>
    <w:rsid w:val="0096755E"/>
    <w:rsid w:val="0097009A"/>
    <w:rsid w:val="009702FE"/>
    <w:rsid w:val="00970496"/>
    <w:rsid w:val="0097074F"/>
    <w:rsid w:val="00970CB8"/>
    <w:rsid w:val="009712EB"/>
    <w:rsid w:val="009719CA"/>
    <w:rsid w:val="009719FF"/>
    <w:rsid w:val="00971EC8"/>
    <w:rsid w:val="00972B0B"/>
    <w:rsid w:val="00972F73"/>
    <w:rsid w:val="009731D6"/>
    <w:rsid w:val="0097382A"/>
    <w:rsid w:val="009739D7"/>
    <w:rsid w:val="00973AC2"/>
    <w:rsid w:val="00973D6E"/>
    <w:rsid w:val="0097453E"/>
    <w:rsid w:val="00974642"/>
    <w:rsid w:val="00974A1D"/>
    <w:rsid w:val="00974BFC"/>
    <w:rsid w:val="009753BD"/>
    <w:rsid w:val="00975939"/>
    <w:rsid w:val="00975A97"/>
    <w:rsid w:val="00975C3C"/>
    <w:rsid w:val="00975F07"/>
    <w:rsid w:val="0097635C"/>
    <w:rsid w:val="0097652B"/>
    <w:rsid w:val="00976629"/>
    <w:rsid w:val="009767DE"/>
    <w:rsid w:val="0097767D"/>
    <w:rsid w:val="00980D75"/>
    <w:rsid w:val="00982378"/>
    <w:rsid w:val="00982501"/>
    <w:rsid w:val="009825D9"/>
    <w:rsid w:val="009838D6"/>
    <w:rsid w:val="00983D23"/>
    <w:rsid w:val="009854EF"/>
    <w:rsid w:val="00985558"/>
    <w:rsid w:val="0098668B"/>
    <w:rsid w:val="009867F3"/>
    <w:rsid w:val="009868BF"/>
    <w:rsid w:val="00986B27"/>
    <w:rsid w:val="00986C3C"/>
    <w:rsid w:val="00986C7F"/>
    <w:rsid w:val="009871FD"/>
    <w:rsid w:val="009877C5"/>
    <w:rsid w:val="00987C71"/>
    <w:rsid w:val="00990573"/>
    <w:rsid w:val="0099130A"/>
    <w:rsid w:val="00991A57"/>
    <w:rsid w:val="00991F15"/>
    <w:rsid w:val="0099224D"/>
    <w:rsid w:val="0099238B"/>
    <w:rsid w:val="00992651"/>
    <w:rsid w:val="00992674"/>
    <w:rsid w:val="009926AE"/>
    <w:rsid w:val="00992E22"/>
    <w:rsid w:val="00993138"/>
    <w:rsid w:val="0099407B"/>
    <w:rsid w:val="009945F1"/>
    <w:rsid w:val="00995EC0"/>
    <w:rsid w:val="009961B0"/>
    <w:rsid w:val="0099689D"/>
    <w:rsid w:val="009968E0"/>
    <w:rsid w:val="00996CC1"/>
    <w:rsid w:val="00996D8B"/>
    <w:rsid w:val="009970C3"/>
    <w:rsid w:val="0099716C"/>
    <w:rsid w:val="00997755"/>
    <w:rsid w:val="009A032B"/>
    <w:rsid w:val="009A0AB2"/>
    <w:rsid w:val="009A2266"/>
    <w:rsid w:val="009A27B7"/>
    <w:rsid w:val="009A2836"/>
    <w:rsid w:val="009A28DF"/>
    <w:rsid w:val="009A2B75"/>
    <w:rsid w:val="009A32DF"/>
    <w:rsid w:val="009A3AAA"/>
    <w:rsid w:val="009A419C"/>
    <w:rsid w:val="009A4321"/>
    <w:rsid w:val="009A4611"/>
    <w:rsid w:val="009A517E"/>
    <w:rsid w:val="009A60FB"/>
    <w:rsid w:val="009A6112"/>
    <w:rsid w:val="009A6FD2"/>
    <w:rsid w:val="009A7C7F"/>
    <w:rsid w:val="009B04B0"/>
    <w:rsid w:val="009B06C3"/>
    <w:rsid w:val="009B07A9"/>
    <w:rsid w:val="009B0D36"/>
    <w:rsid w:val="009B1254"/>
    <w:rsid w:val="009B1A72"/>
    <w:rsid w:val="009B23D7"/>
    <w:rsid w:val="009B2B6B"/>
    <w:rsid w:val="009B2CEC"/>
    <w:rsid w:val="009B37A1"/>
    <w:rsid w:val="009B3943"/>
    <w:rsid w:val="009B511E"/>
    <w:rsid w:val="009B59EE"/>
    <w:rsid w:val="009B6157"/>
    <w:rsid w:val="009B66A0"/>
    <w:rsid w:val="009B770E"/>
    <w:rsid w:val="009B7A01"/>
    <w:rsid w:val="009B7F1A"/>
    <w:rsid w:val="009B8B23"/>
    <w:rsid w:val="009C08DA"/>
    <w:rsid w:val="009C09F3"/>
    <w:rsid w:val="009C0DD9"/>
    <w:rsid w:val="009C1334"/>
    <w:rsid w:val="009C1487"/>
    <w:rsid w:val="009C1DBA"/>
    <w:rsid w:val="009C266A"/>
    <w:rsid w:val="009C26CE"/>
    <w:rsid w:val="009C2768"/>
    <w:rsid w:val="009C36C5"/>
    <w:rsid w:val="009C3DF5"/>
    <w:rsid w:val="009C45F4"/>
    <w:rsid w:val="009C490C"/>
    <w:rsid w:val="009C4B21"/>
    <w:rsid w:val="009C5B10"/>
    <w:rsid w:val="009C5C7A"/>
    <w:rsid w:val="009C5E38"/>
    <w:rsid w:val="009C5F29"/>
    <w:rsid w:val="009C6B06"/>
    <w:rsid w:val="009C729C"/>
    <w:rsid w:val="009C78A1"/>
    <w:rsid w:val="009C791B"/>
    <w:rsid w:val="009C7A0A"/>
    <w:rsid w:val="009C7B65"/>
    <w:rsid w:val="009C7D39"/>
    <w:rsid w:val="009C7E6D"/>
    <w:rsid w:val="009D0434"/>
    <w:rsid w:val="009D0565"/>
    <w:rsid w:val="009D0B87"/>
    <w:rsid w:val="009D10CA"/>
    <w:rsid w:val="009D19C6"/>
    <w:rsid w:val="009D1F8D"/>
    <w:rsid w:val="009D22A1"/>
    <w:rsid w:val="009D279B"/>
    <w:rsid w:val="009D27AB"/>
    <w:rsid w:val="009D40F3"/>
    <w:rsid w:val="009D4333"/>
    <w:rsid w:val="009D447A"/>
    <w:rsid w:val="009D4C33"/>
    <w:rsid w:val="009D5331"/>
    <w:rsid w:val="009D6076"/>
    <w:rsid w:val="009D68FF"/>
    <w:rsid w:val="009D78CB"/>
    <w:rsid w:val="009E00C4"/>
    <w:rsid w:val="009E0123"/>
    <w:rsid w:val="009E0FCE"/>
    <w:rsid w:val="009E1409"/>
    <w:rsid w:val="009E1769"/>
    <w:rsid w:val="009E1913"/>
    <w:rsid w:val="009E1D18"/>
    <w:rsid w:val="009E1DD7"/>
    <w:rsid w:val="009E1F85"/>
    <w:rsid w:val="009E22BB"/>
    <w:rsid w:val="009E2343"/>
    <w:rsid w:val="009E2621"/>
    <w:rsid w:val="009E280E"/>
    <w:rsid w:val="009E2970"/>
    <w:rsid w:val="009E2A58"/>
    <w:rsid w:val="009E2DA5"/>
    <w:rsid w:val="009E2F7C"/>
    <w:rsid w:val="009E3809"/>
    <w:rsid w:val="009E4432"/>
    <w:rsid w:val="009E5178"/>
    <w:rsid w:val="009E59AF"/>
    <w:rsid w:val="009E59E5"/>
    <w:rsid w:val="009E5E3A"/>
    <w:rsid w:val="009E691A"/>
    <w:rsid w:val="009E79CC"/>
    <w:rsid w:val="009E7D6B"/>
    <w:rsid w:val="009F070B"/>
    <w:rsid w:val="009F0839"/>
    <w:rsid w:val="009F0E1C"/>
    <w:rsid w:val="009F181F"/>
    <w:rsid w:val="009F1C1E"/>
    <w:rsid w:val="009F1F0A"/>
    <w:rsid w:val="009F2495"/>
    <w:rsid w:val="009F24F1"/>
    <w:rsid w:val="009F33D0"/>
    <w:rsid w:val="009F392C"/>
    <w:rsid w:val="009F39E8"/>
    <w:rsid w:val="009F40FC"/>
    <w:rsid w:val="009F4504"/>
    <w:rsid w:val="009F49C0"/>
    <w:rsid w:val="009F4AD0"/>
    <w:rsid w:val="009F6385"/>
    <w:rsid w:val="009F66D2"/>
    <w:rsid w:val="009F68CD"/>
    <w:rsid w:val="009F693A"/>
    <w:rsid w:val="009F6A2A"/>
    <w:rsid w:val="009F6E97"/>
    <w:rsid w:val="009F7C79"/>
    <w:rsid w:val="009F7EE0"/>
    <w:rsid w:val="009F7F0F"/>
    <w:rsid w:val="00A0037A"/>
    <w:rsid w:val="00A004BE"/>
    <w:rsid w:val="00A00848"/>
    <w:rsid w:val="00A00BF3"/>
    <w:rsid w:val="00A00E86"/>
    <w:rsid w:val="00A0258B"/>
    <w:rsid w:val="00A032F3"/>
    <w:rsid w:val="00A0339A"/>
    <w:rsid w:val="00A037CC"/>
    <w:rsid w:val="00A03ABA"/>
    <w:rsid w:val="00A0465E"/>
    <w:rsid w:val="00A04752"/>
    <w:rsid w:val="00A04888"/>
    <w:rsid w:val="00A05181"/>
    <w:rsid w:val="00A054BB"/>
    <w:rsid w:val="00A057CC"/>
    <w:rsid w:val="00A059C7"/>
    <w:rsid w:val="00A05FE4"/>
    <w:rsid w:val="00A062E6"/>
    <w:rsid w:val="00A0674A"/>
    <w:rsid w:val="00A10180"/>
    <w:rsid w:val="00A1019A"/>
    <w:rsid w:val="00A101C9"/>
    <w:rsid w:val="00A10755"/>
    <w:rsid w:val="00A10A3D"/>
    <w:rsid w:val="00A1175E"/>
    <w:rsid w:val="00A12DB3"/>
    <w:rsid w:val="00A1314B"/>
    <w:rsid w:val="00A138C3"/>
    <w:rsid w:val="00A153C4"/>
    <w:rsid w:val="00A155D9"/>
    <w:rsid w:val="00A15674"/>
    <w:rsid w:val="00A15845"/>
    <w:rsid w:val="00A15F9B"/>
    <w:rsid w:val="00A1693F"/>
    <w:rsid w:val="00A17102"/>
    <w:rsid w:val="00A1739A"/>
    <w:rsid w:val="00A17CAA"/>
    <w:rsid w:val="00A20631"/>
    <w:rsid w:val="00A207A2"/>
    <w:rsid w:val="00A21090"/>
    <w:rsid w:val="00A211F8"/>
    <w:rsid w:val="00A2186C"/>
    <w:rsid w:val="00A21CE6"/>
    <w:rsid w:val="00A2200F"/>
    <w:rsid w:val="00A22594"/>
    <w:rsid w:val="00A22F4F"/>
    <w:rsid w:val="00A23177"/>
    <w:rsid w:val="00A23527"/>
    <w:rsid w:val="00A24474"/>
    <w:rsid w:val="00A24851"/>
    <w:rsid w:val="00A253C3"/>
    <w:rsid w:val="00A257D8"/>
    <w:rsid w:val="00A25CA8"/>
    <w:rsid w:val="00A26A66"/>
    <w:rsid w:val="00A26A8F"/>
    <w:rsid w:val="00A27269"/>
    <w:rsid w:val="00A27EA8"/>
    <w:rsid w:val="00A30054"/>
    <w:rsid w:val="00A3005D"/>
    <w:rsid w:val="00A300B1"/>
    <w:rsid w:val="00A30628"/>
    <w:rsid w:val="00A30E2C"/>
    <w:rsid w:val="00A31564"/>
    <w:rsid w:val="00A319AF"/>
    <w:rsid w:val="00A31DF2"/>
    <w:rsid w:val="00A322DE"/>
    <w:rsid w:val="00A329DB"/>
    <w:rsid w:val="00A32B02"/>
    <w:rsid w:val="00A32D2B"/>
    <w:rsid w:val="00A354A5"/>
    <w:rsid w:val="00A363F2"/>
    <w:rsid w:val="00A3694C"/>
    <w:rsid w:val="00A36B26"/>
    <w:rsid w:val="00A36D51"/>
    <w:rsid w:val="00A36E27"/>
    <w:rsid w:val="00A3750E"/>
    <w:rsid w:val="00A40654"/>
    <w:rsid w:val="00A40DA1"/>
    <w:rsid w:val="00A41034"/>
    <w:rsid w:val="00A41A34"/>
    <w:rsid w:val="00A42EE7"/>
    <w:rsid w:val="00A43237"/>
    <w:rsid w:val="00A4332F"/>
    <w:rsid w:val="00A43700"/>
    <w:rsid w:val="00A438E4"/>
    <w:rsid w:val="00A43B7F"/>
    <w:rsid w:val="00A44794"/>
    <w:rsid w:val="00A447BD"/>
    <w:rsid w:val="00A44A45"/>
    <w:rsid w:val="00A44BBF"/>
    <w:rsid w:val="00A44C49"/>
    <w:rsid w:val="00A45BCC"/>
    <w:rsid w:val="00A4693D"/>
    <w:rsid w:val="00A470AB"/>
    <w:rsid w:val="00A4717A"/>
    <w:rsid w:val="00A4727F"/>
    <w:rsid w:val="00A4742B"/>
    <w:rsid w:val="00A4795C"/>
    <w:rsid w:val="00A50A7F"/>
    <w:rsid w:val="00A5182F"/>
    <w:rsid w:val="00A51BA5"/>
    <w:rsid w:val="00A51E73"/>
    <w:rsid w:val="00A52326"/>
    <w:rsid w:val="00A52672"/>
    <w:rsid w:val="00A53299"/>
    <w:rsid w:val="00A532BD"/>
    <w:rsid w:val="00A553B1"/>
    <w:rsid w:val="00A55B5B"/>
    <w:rsid w:val="00A56AC3"/>
    <w:rsid w:val="00A56BEA"/>
    <w:rsid w:val="00A57241"/>
    <w:rsid w:val="00A6000C"/>
    <w:rsid w:val="00A60563"/>
    <w:rsid w:val="00A60564"/>
    <w:rsid w:val="00A60D91"/>
    <w:rsid w:val="00A6110C"/>
    <w:rsid w:val="00A61785"/>
    <w:rsid w:val="00A61E65"/>
    <w:rsid w:val="00A62120"/>
    <w:rsid w:val="00A62B65"/>
    <w:rsid w:val="00A630EF"/>
    <w:rsid w:val="00A64F82"/>
    <w:rsid w:val="00A65453"/>
    <w:rsid w:val="00A65BC4"/>
    <w:rsid w:val="00A6608C"/>
    <w:rsid w:val="00A6645F"/>
    <w:rsid w:val="00A66945"/>
    <w:rsid w:val="00A672C3"/>
    <w:rsid w:val="00A67749"/>
    <w:rsid w:val="00A67DFC"/>
    <w:rsid w:val="00A7018E"/>
    <w:rsid w:val="00A70726"/>
    <w:rsid w:val="00A70B42"/>
    <w:rsid w:val="00A70BF6"/>
    <w:rsid w:val="00A71382"/>
    <w:rsid w:val="00A71D2A"/>
    <w:rsid w:val="00A71E16"/>
    <w:rsid w:val="00A71FB9"/>
    <w:rsid w:val="00A72262"/>
    <w:rsid w:val="00A73154"/>
    <w:rsid w:val="00A7394D"/>
    <w:rsid w:val="00A73A26"/>
    <w:rsid w:val="00A73DAD"/>
    <w:rsid w:val="00A73F14"/>
    <w:rsid w:val="00A74408"/>
    <w:rsid w:val="00A7454F"/>
    <w:rsid w:val="00A74760"/>
    <w:rsid w:val="00A74820"/>
    <w:rsid w:val="00A74822"/>
    <w:rsid w:val="00A749A0"/>
    <w:rsid w:val="00A74BBB"/>
    <w:rsid w:val="00A74E7A"/>
    <w:rsid w:val="00A75630"/>
    <w:rsid w:val="00A75D4D"/>
    <w:rsid w:val="00A762EB"/>
    <w:rsid w:val="00A76497"/>
    <w:rsid w:val="00A76522"/>
    <w:rsid w:val="00A765D3"/>
    <w:rsid w:val="00A76E0A"/>
    <w:rsid w:val="00A77918"/>
    <w:rsid w:val="00A8326F"/>
    <w:rsid w:val="00A83FA8"/>
    <w:rsid w:val="00A84384"/>
    <w:rsid w:val="00A8465A"/>
    <w:rsid w:val="00A8486F"/>
    <w:rsid w:val="00A84EF8"/>
    <w:rsid w:val="00A851AB"/>
    <w:rsid w:val="00A859B0"/>
    <w:rsid w:val="00A86C54"/>
    <w:rsid w:val="00A871A8"/>
    <w:rsid w:val="00A90D6A"/>
    <w:rsid w:val="00A919FB"/>
    <w:rsid w:val="00A91CBB"/>
    <w:rsid w:val="00A926D0"/>
    <w:rsid w:val="00A9283B"/>
    <w:rsid w:val="00A92AE3"/>
    <w:rsid w:val="00A9314D"/>
    <w:rsid w:val="00A93853"/>
    <w:rsid w:val="00A942FC"/>
    <w:rsid w:val="00A94367"/>
    <w:rsid w:val="00A94854"/>
    <w:rsid w:val="00A94A7E"/>
    <w:rsid w:val="00A9543F"/>
    <w:rsid w:val="00A95620"/>
    <w:rsid w:val="00A95ABD"/>
    <w:rsid w:val="00A960D8"/>
    <w:rsid w:val="00A9642F"/>
    <w:rsid w:val="00A96AD0"/>
    <w:rsid w:val="00A96CB5"/>
    <w:rsid w:val="00A96E8C"/>
    <w:rsid w:val="00A97485"/>
    <w:rsid w:val="00A97E92"/>
    <w:rsid w:val="00AA090E"/>
    <w:rsid w:val="00AA0929"/>
    <w:rsid w:val="00AA0F2E"/>
    <w:rsid w:val="00AA1338"/>
    <w:rsid w:val="00AA13BD"/>
    <w:rsid w:val="00AA158E"/>
    <w:rsid w:val="00AA1B4A"/>
    <w:rsid w:val="00AA1D23"/>
    <w:rsid w:val="00AA1D4F"/>
    <w:rsid w:val="00AA203E"/>
    <w:rsid w:val="00AA2608"/>
    <w:rsid w:val="00AA2700"/>
    <w:rsid w:val="00AA2CB6"/>
    <w:rsid w:val="00AA3A0A"/>
    <w:rsid w:val="00AA3B51"/>
    <w:rsid w:val="00AA51B3"/>
    <w:rsid w:val="00AA547B"/>
    <w:rsid w:val="00AA569A"/>
    <w:rsid w:val="00AA5790"/>
    <w:rsid w:val="00AA5C6D"/>
    <w:rsid w:val="00AA62D5"/>
    <w:rsid w:val="00AA74AF"/>
    <w:rsid w:val="00AB0963"/>
    <w:rsid w:val="00AB0EDE"/>
    <w:rsid w:val="00AB1239"/>
    <w:rsid w:val="00AB1FB7"/>
    <w:rsid w:val="00AB2644"/>
    <w:rsid w:val="00AB3075"/>
    <w:rsid w:val="00AB3BD2"/>
    <w:rsid w:val="00AB3E54"/>
    <w:rsid w:val="00AB4365"/>
    <w:rsid w:val="00AB45F4"/>
    <w:rsid w:val="00AB4608"/>
    <w:rsid w:val="00AB4B01"/>
    <w:rsid w:val="00AB4B35"/>
    <w:rsid w:val="00AB4D7E"/>
    <w:rsid w:val="00AB5494"/>
    <w:rsid w:val="00AB6314"/>
    <w:rsid w:val="00AB6D0B"/>
    <w:rsid w:val="00AB6FDD"/>
    <w:rsid w:val="00AB7CD3"/>
    <w:rsid w:val="00AC032B"/>
    <w:rsid w:val="00AC096E"/>
    <w:rsid w:val="00AC1186"/>
    <w:rsid w:val="00AC1690"/>
    <w:rsid w:val="00AC1CE3"/>
    <w:rsid w:val="00AC23C9"/>
    <w:rsid w:val="00AC2C4E"/>
    <w:rsid w:val="00AC3421"/>
    <w:rsid w:val="00AC3CA0"/>
    <w:rsid w:val="00AC561A"/>
    <w:rsid w:val="00AC62EC"/>
    <w:rsid w:val="00AC69F7"/>
    <w:rsid w:val="00AC7C56"/>
    <w:rsid w:val="00AD0084"/>
    <w:rsid w:val="00AD0412"/>
    <w:rsid w:val="00AD07AD"/>
    <w:rsid w:val="00AD0947"/>
    <w:rsid w:val="00AD0C25"/>
    <w:rsid w:val="00AD0F83"/>
    <w:rsid w:val="00AD0F92"/>
    <w:rsid w:val="00AD0FAE"/>
    <w:rsid w:val="00AD14AD"/>
    <w:rsid w:val="00AD162E"/>
    <w:rsid w:val="00AD1660"/>
    <w:rsid w:val="00AD18EF"/>
    <w:rsid w:val="00AD1FD7"/>
    <w:rsid w:val="00AD3293"/>
    <w:rsid w:val="00AD379B"/>
    <w:rsid w:val="00AD4B6C"/>
    <w:rsid w:val="00AD4C15"/>
    <w:rsid w:val="00AD4E20"/>
    <w:rsid w:val="00AD5A25"/>
    <w:rsid w:val="00AD613E"/>
    <w:rsid w:val="00AD624C"/>
    <w:rsid w:val="00AD7376"/>
    <w:rsid w:val="00AD73D3"/>
    <w:rsid w:val="00AD77C5"/>
    <w:rsid w:val="00AD7D09"/>
    <w:rsid w:val="00AE022D"/>
    <w:rsid w:val="00AE08A2"/>
    <w:rsid w:val="00AE141F"/>
    <w:rsid w:val="00AE1A73"/>
    <w:rsid w:val="00AE29F8"/>
    <w:rsid w:val="00AE2C16"/>
    <w:rsid w:val="00AE30C6"/>
    <w:rsid w:val="00AE3D98"/>
    <w:rsid w:val="00AE438A"/>
    <w:rsid w:val="00AE45BC"/>
    <w:rsid w:val="00AE4AC9"/>
    <w:rsid w:val="00AE5F38"/>
    <w:rsid w:val="00AE5F63"/>
    <w:rsid w:val="00AE5FE2"/>
    <w:rsid w:val="00AE61E1"/>
    <w:rsid w:val="00AE6327"/>
    <w:rsid w:val="00AE75B7"/>
    <w:rsid w:val="00AE7965"/>
    <w:rsid w:val="00AE796B"/>
    <w:rsid w:val="00AF035A"/>
    <w:rsid w:val="00AF1158"/>
    <w:rsid w:val="00AF1809"/>
    <w:rsid w:val="00AF32FE"/>
    <w:rsid w:val="00AF3B01"/>
    <w:rsid w:val="00AF3D4B"/>
    <w:rsid w:val="00AF4946"/>
    <w:rsid w:val="00AF580D"/>
    <w:rsid w:val="00AF58EE"/>
    <w:rsid w:val="00AF67D8"/>
    <w:rsid w:val="00AF6B03"/>
    <w:rsid w:val="00AF6C4B"/>
    <w:rsid w:val="00AF767A"/>
    <w:rsid w:val="00AF7912"/>
    <w:rsid w:val="00B00218"/>
    <w:rsid w:val="00B0085D"/>
    <w:rsid w:val="00B008A5"/>
    <w:rsid w:val="00B00EC9"/>
    <w:rsid w:val="00B0204E"/>
    <w:rsid w:val="00B02464"/>
    <w:rsid w:val="00B02B5C"/>
    <w:rsid w:val="00B02D23"/>
    <w:rsid w:val="00B030F3"/>
    <w:rsid w:val="00B031AE"/>
    <w:rsid w:val="00B03688"/>
    <w:rsid w:val="00B03999"/>
    <w:rsid w:val="00B045DB"/>
    <w:rsid w:val="00B04E67"/>
    <w:rsid w:val="00B04EFA"/>
    <w:rsid w:val="00B0509E"/>
    <w:rsid w:val="00B05128"/>
    <w:rsid w:val="00B053A0"/>
    <w:rsid w:val="00B05699"/>
    <w:rsid w:val="00B05E00"/>
    <w:rsid w:val="00B0636A"/>
    <w:rsid w:val="00B06544"/>
    <w:rsid w:val="00B068C4"/>
    <w:rsid w:val="00B07390"/>
    <w:rsid w:val="00B073D5"/>
    <w:rsid w:val="00B07A1A"/>
    <w:rsid w:val="00B100AE"/>
    <w:rsid w:val="00B109D4"/>
    <w:rsid w:val="00B10A5E"/>
    <w:rsid w:val="00B11451"/>
    <w:rsid w:val="00B11701"/>
    <w:rsid w:val="00B12090"/>
    <w:rsid w:val="00B12678"/>
    <w:rsid w:val="00B126E6"/>
    <w:rsid w:val="00B12A8E"/>
    <w:rsid w:val="00B12BB2"/>
    <w:rsid w:val="00B13242"/>
    <w:rsid w:val="00B135E3"/>
    <w:rsid w:val="00B137D5"/>
    <w:rsid w:val="00B13D7A"/>
    <w:rsid w:val="00B14275"/>
    <w:rsid w:val="00B14419"/>
    <w:rsid w:val="00B1488C"/>
    <w:rsid w:val="00B15876"/>
    <w:rsid w:val="00B15AD4"/>
    <w:rsid w:val="00B17422"/>
    <w:rsid w:val="00B20D2F"/>
    <w:rsid w:val="00B21097"/>
    <w:rsid w:val="00B2171D"/>
    <w:rsid w:val="00B21D7C"/>
    <w:rsid w:val="00B22705"/>
    <w:rsid w:val="00B231B3"/>
    <w:rsid w:val="00B23B22"/>
    <w:rsid w:val="00B24951"/>
    <w:rsid w:val="00B24CC4"/>
    <w:rsid w:val="00B255DD"/>
    <w:rsid w:val="00B25C43"/>
    <w:rsid w:val="00B25EFF"/>
    <w:rsid w:val="00B26588"/>
    <w:rsid w:val="00B27A9C"/>
    <w:rsid w:val="00B30358"/>
    <w:rsid w:val="00B30AB4"/>
    <w:rsid w:val="00B30C5F"/>
    <w:rsid w:val="00B30ED5"/>
    <w:rsid w:val="00B30FE3"/>
    <w:rsid w:val="00B3139E"/>
    <w:rsid w:val="00B31871"/>
    <w:rsid w:val="00B32080"/>
    <w:rsid w:val="00B32C9F"/>
    <w:rsid w:val="00B3310F"/>
    <w:rsid w:val="00B3313F"/>
    <w:rsid w:val="00B343B8"/>
    <w:rsid w:val="00B34791"/>
    <w:rsid w:val="00B3493B"/>
    <w:rsid w:val="00B36CFF"/>
    <w:rsid w:val="00B36F2E"/>
    <w:rsid w:val="00B371BB"/>
    <w:rsid w:val="00B376B3"/>
    <w:rsid w:val="00B404B1"/>
    <w:rsid w:val="00B41599"/>
    <w:rsid w:val="00B416D3"/>
    <w:rsid w:val="00B41743"/>
    <w:rsid w:val="00B417C8"/>
    <w:rsid w:val="00B422EA"/>
    <w:rsid w:val="00B4231E"/>
    <w:rsid w:val="00B423F2"/>
    <w:rsid w:val="00B42651"/>
    <w:rsid w:val="00B42C4E"/>
    <w:rsid w:val="00B430FD"/>
    <w:rsid w:val="00B4345D"/>
    <w:rsid w:val="00B44A5B"/>
    <w:rsid w:val="00B46324"/>
    <w:rsid w:val="00B46D60"/>
    <w:rsid w:val="00B47828"/>
    <w:rsid w:val="00B47A66"/>
    <w:rsid w:val="00B50190"/>
    <w:rsid w:val="00B508A0"/>
    <w:rsid w:val="00B50DBD"/>
    <w:rsid w:val="00B50EC1"/>
    <w:rsid w:val="00B5111D"/>
    <w:rsid w:val="00B5174D"/>
    <w:rsid w:val="00B51AB4"/>
    <w:rsid w:val="00B526D2"/>
    <w:rsid w:val="00B52A6A"/>
    <w:rsid w:val="00B52D36"/>
    <w:rsid w:val="00B53C5A"/>
    <w:rsid w:val="00B53EFD"/>
    <w:rsid w:val="00B544FE"/>
    <w:rsid w:val="00B54C1E"/>
    <w:rsid w:val="00B555F5"/>
    <w:rsid w:val="00B55835"/>
    <w:rsid w:val="00B5669F"/>
    <w:rsid w:val="00B60055"/>
    <w:rsid w:val="00B60533"/>
    <w:rsid w:val="00B607EA"/>
    <w:rsid w:val="00B6113E"/>
    <w:rsid w:val="00B63E34"/>
    <w:rsid w:val="00B63F9F"/>
    <w:rsid w:val="00B6417B"/>
    <w:rsid w:val="00B64DB7"/>
    <w:rsid w:val="00B64EC3"/>
    <w:rsid w:val="00B6608A"/>
    <w:rsid w:val="00B66A15"/>
    <w:rsid w:val="00B66BDF"/>
    <w:rsid w:val="00B67632"/>
    <w:rsid w:val="00B70218"/>
    <w:rsid w:val="00B70817"/>
    <w:rsid w:val="00B70844"/>
    <w:rsid w:val="00B70CB0"/>
    <w:rsid w:val="00B70E99"/>
    <w:rsid w:val="00B70EBF"/>
    <w:rsid w:val="00B71278"/>
    <w:rsid w:val="00B716E1"/>
    <w:rsid w:val="00B72414"/>
    <w:rsid w:val="00B7247D"/>
    <w:rsid w:val="00B73C04"/>
    <w:rsid w:val="00B73F2C"/>
    <w:rsid w:val="00B740FB"/>
    <w:rsid w:val="00B7585C"/>
    <w:rsid w:val="00B75D58"/>
    <w:rsid w:val="00B75F6C"/>
    <w:rsid w:val="00B77678"/>
    <w:rsid w:val="00B77A15"/>
    <w:rsid w:val="00B77DFE"/>
    <w:rsid w:val="00B77F81"/>
    <w:rsid w:val="00B8074A"/>
    <w:rsid w:val="00B80EF9"/>
    <w:rsid w:val="00B81340"/>
    <w:rsid w:val="00B81A6A"/>
    <w:rsid w:val="00B81BE9"/>
    <w:rsid w:val="00B81D59"/>
    <w:rsid w:val="00B82102"/>
    <w:rsid w:val="00B84130"/>
    <w:rsid w:val="00B84213"/>
    <w:rsid w:val="00B84F2B"/>
    <w:rsid w:val="00B85388"/>
    <w:rsid w:val="00B8539D"/>
    <w:rsid w:val="00B85647"/>
    <w:rsid w:val="00B86A95"/>
    <w:rsid w:val="00B90255"/>
    <w:rsid w:val="00B903A8"/>
    <w:rsid w:val="00B9049D"/>
    <w:rsid w:val="00B91123"/>
    <w:rsid w:val="00B922AE"/>
    <w:rsid w:val="00B926E6"/>
    <w:rsid w:val="00B928E7"/>
    <w:rsid w:val="00B92D13"/>
    <w:rsid w:val="00B9318D"/>
    <w:rsid w:val="00B941E8"/>
    <w:rsid w:val="00B94371"/>
    <w:rsid w:val="00B94518"/>
    <w:rsid w:val="00B9514E"/>
    <w:rsid w:val="00B95D18"/>
    <w:rsid w:val="00B95EDA"/>
    <w:rsid w:val="00B9600C"/>
    <w:rsid w:val="00B96112"/>
    <w:rsid w:val="00B9629D"/>
    <w:rsid w:val="00B962CE"/>
    <w:rsid w:val="00B9641F"/>
    <w:rsid w:val="00B965D4"/>
    <w:rsid w:val="00B9688B"/>
    <w:rsid w:val="00B97858"/>
    <w:rsid w:val="00BA1495"/>
    <w:rsid w:val="00BA1712"/>
    <w:rsid w:val="00BA1A08"/>
    <w:rsid w:val="00BA1DBE"/>
    <w:rsid w:val="00BA22DD"/>
    <w:rsid w:val="00BA3236"/>
    <w:rsid w:val="00BA46CE"/>
    <w:rsid w:val="00BA474D"/>
    <w:rsid w:val="00BA4E47"/>
    <w:rsid w:val="00BA4F23"/>
    <w:rsid w:val="00BA5765"/>
    <w:rsid w:val="00BA590A"/>
    <w:rsid w:val="00BA5CC4"/>
    <w:rsid w:val="00BA5E63"/>
    <w:rsid w:val="00BA620F"/>
    <w:rsid w:val="00BA62B8"/>
    <w:rsid w:val="00BA6392"/>
    <w:rsid w:val="00BA673A"/>
    <w:rsid w:val="00BA6E25"/>
    <w:rsid w:val="00BA716D"/>
    <w:rsid w:val="00BA7AE5"/>
    <w:rsid w:val="00BA7CAC"/>
    <w:rsid w:val="00BB0866"/>
    <w:rsid w:val="00BB0ED5"/>
    <w:rsid w:val="00BB1FDE"/>
    <w:rsid w:val="00BB21AA"/>
    <w:rsid w:val="00BB27E6"/>
    <w:rsid w:val="00BB46B1"/>
    <w:rsid w:val="00BB4A61"/>
    <w:rsid w:val="00BB4AB0"/>
    <w:rsid w:val="00BB542B"/>
    <w:rsid w:val="00BB5741"/>
    <w:rsid w:val="00BB5A21"/>
    <w:rsid w:val="00BB5B90"/>
    <w:rsid w:val="00BB5C88"/>
    <w:rsid w:val="00BB5F2B"/>
    <w:rsid w:val="00BB6375"/>
    <w:rsid w:val="00BB6896"/>
    <w:rsid w:val="00BB71F0"/>
    <w:rsid w:val="00BB7495"/>
    <w:rsid w:val="00BC11E1"/>
    <w:rsid w:val="00BC1C2E"/>
    <w:rsid w:val="00BC27E7"/>
    <w:rsid w:val="00BC3846"/>
    <w:rsid w:val="00BC3A32"/>
    <w:rsid w:val="00BC3A7E"/>
    <w:rsid w:val="00BC46DA"/>
    <w:rsid w:val="00BC4DD8"/>
    <w:rsid w:val="00BC5122"/>
    <w:rsid w:val="00BC520B"/>
    <w:rsid w:val="00BC5496"/>
    <w:rsid w:val="00BC5581"/>
    <w:rsid w:val="00BC5E9B"/>
    <w:rsid w:val="00BC62C4"/>
    <w:rsid w:val="00BC67ED"/>
    <w:rsid w:val="00BC707B"/>
    <w:rsid w:val="00BC727B"/>
    <w:rsid w:val="00BC7344"/>
    <w:rsid w:val="00BC7A2F"/>
    <w:rsid w:val="00BC7D02"/>
    <w:rsid w:val="00BD01DF"/>
    <w:rsid w:val="00BD072B"/>
    <w:rsid w:val="00BD1086"/>
    <w:rsid w:val="00BD243C"/>
    <w:rsid w:val="00BD2B64"/>
    <w:rsid w:val="00BD303F"/>
    <w:rsid w:val="00BD32BC"/>
    <w:rsid w:val="00BD35D0"/>
    <w:rsid w:val="00BD3B30"/>
    <w:rsid w:val="00BD3B3F"/>
    <w:rsid w:val="00BD3F9E"/>
    <w:rsid w:val="00BD4C8A"/>
    <w:rsid w:val="00BD5857"/>
    <w:rsid w:val="00BD5A3D"/>
    <w:rsid w:val="00BD6166"/>
    <w:rsid w:val="00BD657E"/>
    <w:rsid w:val="00BD70F6"/>
    <w:rsid w:val="00BD740C"/>
    <w:rsid w:val="00BE09E6"/>
    <w:rsid w:val="00BE0E16"/>
    <w:rsid w:val="00BE1965"/>
    <w:rsid w:val="00BE2414"/>
    <w:rsid w:val="00BE2ED0"/>
    <w:rsid w:val="00BE39D7"/>
    <w:rsid w:val="00BE3EEA"/>
    <w:rsid w:val="00BE406B"/>
    <w:rsid w:val="00BE4E97"/>
    <w:rsid w:val="00BE5982"/>
    <w:rsid w:val="00BE69B3"/>
    <w:rsid w:val="00BE79AC"/>
    <w:rsid w:val="00BE7AEF"/>
    <w:rsid w:val="00BE7CF5"/>
    <w:rsid w:val="00BE7EEF"/>
    <w:rsid w:val="00BE7F41"/>
    <w:rsid w:val="00BE7F6A"/>
    <w:rsid w:val="00BF004B"/>
    <w:rsid w:val="00BF0445"/>
    <w:rsid w:val="00BF0C0A"/>
    <w:rsid w:val="00BF139E"/>
    <w:rsid w:val="00BF1FEE"/>
    <w:rsid w:val="00BF2183"/>
    <w:rsid w:val="00BF2232"/>
    <w:rsid w:val="00BF251B"/>
    <w:rsid w:val="00BF2D16"/>
    <w:rsid w:val="00BF3799"/>
    <w:rsid w:val="00BF4558"/>
    <w:rsid w:val="00BF4C74"/>
    <w:rsid w:val="00BF4E28"/>
    <w:rsid w:val="00BF4E7E"/>
    <w:rsid w:val="00BF4F25"/>
    <w:rsid w:val="00BF52D1"/>
    <w:rsid w:val="00BF595C"/>
    <w:rsid w:val="00BF5A12"/>
    <w:rsid w:val="00BF5FEC"/>
    <w:rsid w:val="00BF6011"/>
    <w:rsid w:val="00BF6319"/>
    <w:rsid w:val="00BF655C"/>
    <w:rsid w:val="00BF6AD4"/>
    <w:rsid w:val="00BF7C35"/>
    <w:rsid w:val="00BF7F2A"/>
    <w:rsid w:val="00C00892"/>
    <w:rsid w:val="00C009F6"/>
    <w:rsid w:val="00C00F79"/>
    <w:rsid w:val="00C0188C"/>
    <w:rsid w:val="00C01BA7"/>
    <w:rsid w:val="00C01D67"/>
    <w:rsid w:val="00C02708"/>
    <w:rsid w:val="00C02F14"/>
    <w:rsid w:val="00C034CC"/>
    <w:rsid w:val="00C048A5"/>
    <w:rsid w:val="00C05653"/>
    <w:rsid w:val="00C05B9E"/>
    <w:rsid w:val="00C05EBC"/>
    <w:rsid w:val="00C06047"/>
    <w:rsid w:val="00C06385"/>
    <w:rsid w:val="00C06B0B"/>
    <w:rsid w:val="00C06D05"/>
    <w:rsid w:val="00C07080"/>
    <w:rsid w:val="00C073E6"/>
    <w:rsid w:val="00C0746D"/>
    <w:rsid w:val="00C07BED"/>
    <w:rsid w:val="00C08D0C"/>
    <w:rsid w:val="00C11144"/>
    <w:rsid w:val="00C1158D"/>
    <w:rsid w:val="00C1188F"/>
    <w:rsid w:val="00C11CB8"/>
    <w:rsid w:val="00C11E88"/>
    <w:rsid w:val="00C11EC8"/>
    <w:rsid w:val="00C12020"/>
    <w:rsid w:val="00C12117"/>
    <w:rsid w:val="00C123AC"/>
    <w:rsid w:val="00C125D7"/>
    <w:rsid w:val="00C134D6"/>
    <w:rsid w:val="00C135F0"/>
    <w:rsid w:val="00C13804"/>
    <w:rsid w:val="00C13D82"/>
    <w:rsid w:val="00C13FF8"/>
    <w:rsid w:val="00C142D6"/>
    <w:rsid w:val="00C146A9"/>
    <w:rsid w:val="00C156C5"/>
    <w:rsid w:val="00C15E3E"/>
    <w:rsid w:val="00C163AF"/>
    <w:rsid w:val="00C16E57"/>
    <w:rsid w:val="00C17AE0"/>
    <w:rsid w:val="00C20D0F"/>
    <w:rsid w:val="00C216FC"/>
    <w:rsid w:val="00C21D9C"/>
    <w:rsid w:val="00C2288C"/>
    <w:rsid w:val="00C22BA7"/>
    <w:rsid w:val="00C22D48"/>
    <w:rsid w:val="00C23177"/>
    <w:rsid w:val="00C236C3"/>
    <w:rsid w:val="00C23783"/>
    <w:rsid w:val="00C23B5C"/>
    <w:rsid w:val="00C2459B"/>
    <w:rsid w:val="00C246AB"/>
    <w:rsid w:val="00C25050"/>
    <w:rsid w:val="00C2510F"/>
    <w:rsid w:val="00C25B20"/>
    <w:rsid w:val="00C25E9F"/>
    <w:rsid w:val="00C25EA7"/>
    <w:rsid w:val="00C26E76"/>
    <w:rsid w:val="00C27302"/>
    <w:rsid w:val="00C2731D"/>
    <w:rsid w:val="00C27352"/>
    <w:rsid w:val="00C27433"/>
    <w:rsid w:val="00C2797B"/>
    <w:rsid w:val="00C27A13"/>
    <w:rsid w:val="00C30203"/>
    <w:rsid w:val="00C3060B"/>
    <w:rsid w:val="00C3140D"/>
    <w:rsid w:val="00C31B29"/>
    <w:rsid w:val="00C31B6F"/>
    <w:rsid w:val="00C31DBB"/>
    <w:rsid w:val="00C3274A"/>
    <w:rsid w:val="00C327E2"/>
    <w:rsid w:val="00C32ABC"/>
    <w:rsid w:val="00C33380"/>
    <w:rsid w:val="00C33476"/>
    <w:rsid w:val="00C33B60"/>
    <w:rsid w:val="00C34272"/>
    <w:rsid w:val="00C34400"/>
    <w:rsid w:val="00C346AC"/>
    <w:rsid w:val="00C3485B"/>
    <w:rsid w:val="00C34B01"/>
    <w:rsid w:val="00C35124"/>
    <w:rsid w:val="00C35812"/>
    <w:rsid w:val="00C35829"/>
    <w:rsid w:val="00C36DC7"/>
    <w:rsid w:val="00C37437"/>
    <w:rsid w:val="00C374DE"/>
    <w:rsid w:val="00C407F3"/>
    <w:rsid w:val="00C4140A"/>
    <w:rsid w:val="00C42087"/>
    <w:rsid w:val="00C4237F"/>
    <w:rsid w:val="00C43808"/>
    <w:rsid w:val="00C455AF"/>
    <w:rsid w:val="00C458BF"/>
    <w:rsid w:val="00C462A2"/>
    <w:rsid w:val="00C4652D"/>
    <w:rsid w:val="00C46682"/>
    <w:rsid w:val="00C46901"/>
    <w:rsid w:val="00C4782C"/>
    <w:rsid w:val="00C502E4"/>
    <w:rsid w:val="00C50301"/>
    <w:rsid w:val="00C5069C"/>
    <w:rsid w:val="00C5107B"/>
    <w:rsid w:val="00C51760"/>
    <w:rsid w:val="00C519C5"/>
    <w:rsid w:val="00C51ABA"/>
    <w:rsid w:val="00C51BD5"/>
    <w:rsid w:val="00C52230"/>
    <w:rsid w:val="00C5268C"/>
    <w:rsid w:val="00C52B43"/>
    <w:rsid w:val="00C52E5B"/>
    <w:rsid w:val="00C53671"/>
    <w:rsid w:val="00C53EB6"/>
    <w:rsid w:val="00C54861"/>
    <w:rsid w:val="00C54952"/>
    <w:rsid w:val="00C54C51"/>
    <w:rsid w:val="00C552D8"/>
    <w:rsid w:val="00C55B4F"/>
    <w:rsid w:val="00C55C5C"/>
    <w:rsid w:val="00C5703F"/>
    <w:rsid w:val="00C572C3"/>
    <w:rsid w:val="00C57E56"/>
    <w:rsid w:val="00C6029C"/>
    <w:rsid w:val="00C60CDD"/>
    <w:rsid w:val="00C616AA"/>
    <w:rsid w:val="00C6184A"/>
    <w:rsid w:val="00C61AEC"/>
    <w:rsid w:val="00C61C88"/>
    <w:rsid w:val="00C62096"/>
    <w:rsid w:val="00C62128"/>
    <w:rsid w:val="00C62C5C"/>
    <w:rsid w:val="00C634BC"/>
    <w:rsid w:val="00C63517"/>
    <w:rsid w:val="00C63F26"/>
    <w:rsid w:val="00C6483B"/>
    <w:rsid w:val="00C64AD9"/>
    <w:rsid w:val="00C64C09"/>
    <w:rsid w:val="00C64D23"/>
    <w:rsid w:val="00C650A3"/>
    <w:rsid w:val="00C65384"/>
    <w:rsid w:val="00C6562D"/>
    <w:rsid w:val="00C659AA"/>
    <w:rsid w:val="00C65DBD"/>
    <w:rsid w:val="00C6622D"/>
    <w:rsid w:val="00C664F0"/>
    <w:rsid w:val="00C666CE"/>
    <w:rsid w:val="00C6686E"/>
    <w:rsid w:val="00C670C8"/>
    <w:rsid w:val="00C679C9"/>
    <w:rsid w:val="00C7009E"/>
    <w:rsid w:val="00C70203"/>
    <w:rsid w:val="00C70DAE"/>
    <w:rsid w:val="00C71AEB"/>
    <w:rsid w:val="00C71C10"/>
    <w:rsid w:val="00C72AAA"/>
    <w:rsid w:val="00C72BF2"/>
    <w:rsid w:val="00C73455"/>
    <w:rsid w:val="00C739F1"/>
    <w:rsid w:val="00C75AA2"/>
    <w:rsid w:val="00C75C77"/>
    <w:rsid w:val="00C76458"/>
    <w:rsid w:val="00C76F6F"/>
    <w:rsid w:val="00C7709B"/>
    <w:rsid w:val="00C77245"/>
    <w:rsid w:val="00C77969"/>
    <w:rsid w:val="00C804B0"/>
    <w:rsid w:val="00C80622"/>
    <w:rsid w:val="00C80D6B"/>
    <w:rsid w:val="00C8152B"/>
    <w:rsid w:val="00C81861"/>
    <w:rsid w:val="00C8195C"/>
    <w:rsid w:val="00C81E8A"/>
    <w:rsid w:val="00C823EB"/>
    <w:rsid w:val="00C82C0C"/>
    <w:rsid w:val="00C84374"/>
    <w:rsid w:val="00C844CE"/>
    <w:rsid w:val="00C84671"/>
    <w:rsid w:val="00C85553"/>
    <w:rsid w:val="00C85CB9"/>
    <w:rsid w:val="00C85DFA"/>
    <w:rsid w:val="00C87090"/>
    <w:rsid w:val="00C8737A"/>
    <w:rsid w:val="00C9090C"/>
    <w:rsid w:val="00C92422"/>
    <w:rsid w:val="00C926BA"/>
    <w:rsid w:val="00C92950"/>
    <w:rsid w:val="00C929E7"/>
    <w:rsid w:val="00C93737"/>
    <w:rsid w:val="00C937FA"/>
    <w:rsid w:val="00C93B8B"/>
    <w:rsid w:val="00C945CC"/>
    <w:rsid w:val="00C945EF"/>
    <w:rsid w:val="00C946F8"/>
    <w:rsid w:val="00C95EAF"/>
    <w:rsid w:val="00C9643B"/>
    <w:rsid w:val="00C96549"/>
    <w:rsid w:val="00C966CF"/>
    <w:rsid w:val="00C96755"/>
    <w:rsid w:val="00C96760"/>
    <w:rsid w:val="00C9706D"/>
    <w:rsid w:val="00C9719E"/>
    <w:rsid w:val="00CA05DC"/>
    <w:rsid w:val="00CA1379"/>
    <w:rsid w:val="00CA15E5"/>
    <w:rsid w:val="00CA1888"/>
    <w:rsid w:val="00CA1945"/>
    <w:rsid w:val="00CA2636"/>
    <w:rsid w:val="00CA3030"/>
    <w:rsid w:val="00CA4EB8"/>
    <w:rsid w:val="00CA5048"/>
    <w:rsid w:val="00CA537D"/>
    <w:rsid w:val="00CA5676"/>
    <w:rsid w:val="00CA5AB7"/>
    <w:rsid w:val="00CA66EF"/>
    <w:rsid w:val="00CA75A2"/>
    <w:rsid w:val="00CA763E"/>
    <w:rsid w:val="00CB01DD"/>
    <w:rsid w:val="00CB07B4"/>
    <w:rsid w:val="00CB09B7"/>
    <w:rsid w:val="00CB0E4D"/>
    <w:rsid w:val="00CB14BA"/>
    <w:rsid w:val="00CB1860"/>
    <w:rsid w:val="00CB1E6C"/>
    <w:rsid w:val="00CB20E4"/>
    <w:rsid w:val="00CB2355"/>
    <w:rsid w:val="00CB2574"/>
    <w:rsid w:val="00CB29DE"/>
    <w:rsid w:val="00CB2ED2"/>
    <w:rsid w:val="00CB3845"/>
    <w:rsid w:val="00CB412A"/>
    <w:rsid w:val="00CB4FAE"/>
    <w:rsid w:val="00CB75C0"/>
    <w:rsid w:val="00CB7BD8"/>
    <w:rsid w:val="00CB7E10"/>
    <w:rsid w:val="00CC02BB"/>
    <w:rsid w:val="00CC0779"/>
    <w:rsid w:val="00CC0A49"/>
    <w:rsid w:val="00CC20FF"/>
    <w:rsid w:val="00CC28D5"/>
    <w:rsid w:val="00CC2CC0"/>
    <w:rsid w:val="00CC315F"/>
    <w:rsid w:val="00CC50E3"/>
    <w:rsid w:val="00CC5B4B"/>
    <w:rsid w:val="00CC6642"/>
    <w:rsid w:val="00CC6996"/>
    <w:rsid w:val="00CC69B5"/>
    <w:rsid w:val="00CC6C4A"/>
    <w:rsid w:val="00CC7587"/>
    <w:rsid w:val="00CC7B07"/>
    <w:rsid w:val="00CC7B5B"/>
    <w:rsid w:val="00CD0197"/>
    <w:rsid w:val="00CD019D"/>
    <w:rsid w:val="00CD0788"/>
    <w:rsid w:val="00CD0B6E"/>
    <w:rsid w:val="00CD2448"/>
    <w:rsid w:val="00CD30BC"/>
    <w:rsid w:val="00CD31CE"/>
    <w:rsid w:val="00CD3728"/>
    <w:rsid w:val="00CD4AB6"/>
    <w:rsid w:val="00CD4FC8"/>
    <w:rsid w:val="00CD5021"/>
    <w:rsid w:val="00CD58A0"/>
    <w:rsid w:val="00CD5C14"/>
    <w:rsid w:val="00CD6EFB"/>
    <w:rsid w:val="00CD7079"/>
    <w:rsid w:val="00CD72A8"/>
    <w:rsid w:val="00CD7713"/>
    <w:rsid w:val="00CE1401"/>
    <w:rsid w:val="00CE1E5F"/>
    <w:rsid w:val="00CE214F"/>
    <w:rsid w:val="00CE2154"/>
    <w:rsid w:val="00CE3871"/>
    <w:rsid w:val="00CE3AFA"/>
    <w:rsid w:val="00CE3FC5"/>
    <w:rsid w:val="00CE4F71"/>
    <w:rsid w:val="00CE6938"/>
    <w:rsid w:val="00CE71E6"/>
    <w:rsid w:val="00CE727D"/>
    <w:rsid w:val="00CE7743"/>
    <w:rsid w:val="00CF02E9"/>
    <w:rsid w:val="00CF0334"/>
    <w:rsid w:val="00CF230F"/>
    <w:rsid w:val="00CF2646"/>
    <w:rsid w:val="00CF2A31"/>
    <w:rsid w:val="00CF2B74"/>
    <w:rsid w:val="00CF394A"/>
    <w:rsid w:val="00CF3D5E"/>
    <w:rsid w:val="00CF427F"/>
    <w:rsid w:val="00CF4987"/>
    <w:rsid w:val="00CF4A4A"/>
    <w:rsid w:val="00CF5148"/>
    <w:rsid w:val="00CF5769"/>
    <w:rsid w:val="00CF58D8"/>
    <w:rsid w:val="00CF615B"/>
    <w:rsid w:val="00CF6217"/>
    <w:rsid w:val="00CF673F"/>
    <w:rsid w:val="00CF79C4"/>
    <w:rsid w:val="00CF7C2E"/>
    <w:rsid w:val="00D004B9"/>
    <w:rsid w:val="00D00589"/>
    <w:rsid w:val="00D00609"/>
    <w:rsid w:val="00D009FB"/>
    <w:rsid w:val="00D00B7F"/>
    <w:rsid w:val="00D0136D"/>
    <w:rsid w:val="00D019DB"/>
    <w:rsid w:val="00D01AD3"/>
    <w:rsid w:val="00D01BF0"/>
    <w:rsid w:val="00D02891"/>
    <w:rsid w:val="00D02FA9"/>
    <w:rsid w:val="00D030BC"/>
    <w:rsid w:val="00D03397"/>
    <w:rsid w:val="00D033C0"/>
    <w:rsid w:val="00D03767"/>
    <w:rsid w:val="00D045E2"/>
    <w:rsid w:val="00D047CC"/>
    <w:rsid w:val="00D04BB2"/>
    <w:rsid w:val="00D04CEA"/>
    <w:rsid w:val="00D04D4E"/>
    <w:rsid w:val="00D05C43"/>
    <w:rsid w:val="00D06FF2"/>
    <w:rsid w:val="00D07D82"/>
    <w:rsid w:val="00D108FF"/>
    <w:rsid w:val="00D10B00"/>
    <w:rsid w:val="00D112CB"/>
    <w:rsid w:val="00D123B4"/>
    <w:rsid w:val="00D123CF"/>
    <w:rsid w:val="00D12A37"/>
    <w:rsid w:val="00D12E66"/>
    <w:rsid w:val="00D132B9"/>
    <w:rsid w:val="00D140F7"/>
    <w:rsid w:val="00D14471"/>
    <w:rsid w:val="00D14509"/>
    <w:rsid w:val="00D14BE0"/>
    <w:rsid w:val="00D14D99"/>
    <w:rsid w:val="00D165BC"/>
    <w:rsid w:val="00D16847"/>
    <w:rsid w:val="00D16C71"/>
    <w:rsid w:val="00D1735F"/>
    <w:rsid w:val="00D1785B"/>
    <w:rsid w:val="00D17A1E"/>
    <w:rsid w:val="00D17D75"/>
    <w:rsid w:val="00D20E1B"/>
    <w:rsid w:val="00D20EA3"/>
    <w:rsid w:val="00D211C0"/>
    <w:rsid w:val="00D2247D"/>
    <w:rsid w:val="00D22605"/>
    <w:rsid w:val="00D23641"/>
    <w:rsid w:val="00D23916"/>
    <w:rsid w:val="00D23D2B"/>
    <w:rsid w:val="00D23E52"/>
    <w:rsid w:val="00D24373"/>
    <w:rsid w:val="00D249F3"/>
    <w:rsid w:val="00D25F17"/>
    <w:rsid w:val="00D260EE"/>
    <w:rsid w:val="00D26134"/>
    <w:rsid w:val="00D261BF"/>
    <w:rsid w:val="00D268A8"/>
    <w:rsid w:val="00D2696B"/>
    <w:rsid w:val="00D27414"/>
    <w:rsid w:val="00D277A3"/>
    <w:rsid w:val="00D30155"/>
    <w:rsid w:val="00D3034B"/>
    <w:rsid w:val="00D30B8E"/>
    <w:rsid w:val="00D31517"/>
    <w:rsid w:val="00D3171F"/>
    <w:rsid w:val="00D31720"/>
    <w:rsid w:val="00D31867"/>
    <w:rsid w:val="00D31CE7"/>
    <w:rsid w:val="00D31D47"/>
    <w:rsid w:val="00D323EC"/>
    <w:rsid w:val="00D32AAC"/>
    <w:rsid w:val="00D32D18"/>
    <w:rsid w:val="00D33171"/>
    <w:rsid w:val="00D33757"/>
    <w:rsid w:val="00D348DC"/>
    <w:rsid w:val="00D34AC8"/>
    <w:rsid w:val="00D355E7"/>
    <w:rsid w:val="00D35B63"/>
    <w:rsid w:val="00D3658A"/>
    <w:rsid w:val="00D36D4B"/>
    <w:rsid w:val="00D37115"/>
    <w:rsid w:val="00D37186"/>
    <w:rsid w:val="00D37A4E"/>
    <w:rsid w:val="00D37FB7"/>
    <w:rsid w:val="00D404EB"/>
    <w:rsid w:val="00D40C84"/>
    <w:rsid w:val="00D40F6A"/>
    <w:rsid w:val="00D41070"/>
    <w:rsid w:val="00D41323"/>
    <w:rsid w:val="00D41A01"/>
    <w:rsid w:val="00D42118"/>
    <w:rsid w:val="00D435E3"/>
    <w:rsid w:val="00D4365D"/>
    <w:rsid w:val="00D43D72"/>
    <w:rsid w:val="00D454DB"/>
    <w:rsid w:val="00D455D1"/>
    <w:rsid w:val="00D4657B"/>
    <w:rsid w:val="00D467AE"/>
    <w:rsid w:val="00D46A26"/>
    <w:rsid w:val="00D50169"/>
    <w:rsid w:val="00D5078B"/>
    <w:rsid w:val="00D5167E"/>
    <w:rsid w:val="00D5184A"/>
    <w:rsid w:val="00D5309A"/>
    <w:rsid w:val="00D537FF"/>
    <w:rsid w:val="00D53C0A"/>
    <w:rsid w:val="00D53C52"/>
    <w:rsid w:val="00D53C80"/>
    <w:rsid w:val="00D54C57"/>
    <w:rsid w:val="00D550F8"/>
    <w:rsid w:val="00D5570C"/>
    <w:rsid w:val="00D55986"/>
    <w:rsid w:val="00D55CA1"/>
    <w:rsid w:val="00D5648C"/>
    <w:rsid w:val="00D56E29"/>
    <w:rsid w:val="00D578DE"/>
    <w:rsid w:val="00D57EB7"/>
    <w:rsid w:val="00D60012"/>
    <w:rsid w:val="00D6265A"/>
    <w:rsid w:val="00D632FC"/>
    <w:rsid w:val="00D64A8A"/>
    <w:rsid w:val="00D64DD7"/>
    <w:rsid w:val="00D64E0F"/>
    <w:rsid w:val="00D6500C"/>
    <w:rsid w:val="00D652D3"/>
    <w:rsid w:val="00D659FA"/>
    <w:rsid w:val="00D65C9E"/>
    <w:rsid w:val="00D65E1D"/>
    <w:rsid w:val="00D66B52"/>
    <w:rsid w:val="00D66B71"/>
    <w:rsid w:val="00D67F24"/>
    <w:rsid w:val="00D7014A"/>
    <w:rsid w:val="00D70998"/>
    <w:rsid w:val="00D71285"/>
    <w:rsid w:val="00D712E7"/>
    <w:rsid w:val="00D7139E"/>
    <w:rsid w:val="00D7184B"/>
    <w:rsid w:val="00D7195D"/>
    <w:rsid w:val="00D71B29"/>
    <w:rsid w:val="00D71C52"/>
    <w:rsid w:val="00D72364"/>
    <w:rsid w:val="00D7256C"/>
    <w:rsid w:val="00D72F67"/>
    <w:rsid w:val="00D738B7"/>
    <w:rsid w:val="00D7453F"/>
    <w:rsid w:val="00D75215"/>
    <w:rsid w:val="00D75639"/>
    <w:rsid w:val="00D7563A"/>
    <w:rsid w:val="00D75A97"/>
    <w:rsid w:val="00D76254"/>
    <w:rsid w:val="00D76256"/>
    <w:rsid w:val="00D770BF"/>
    <w:rsid w:val="00D77201"/>
    <w:rsid w:val="00D77E6E"/>
    <w:rsid w:val="00D77F72"/>
    <w:rsid w:val="00D80022"/>
    <w:rsid w:val="00D8025E"/>
    <w:rsid w:val="00D803E0"/>
    <w:rsid w:val="00D8051D"/>
    <w:rsid w:val="00D808B9"/>
    <w:rsid w:val="00D80DD1"/>
    <w:rsid w:val="00D80EC5"/>
    <w:rsid w:val="00D81844"/>
    <w:rsid w:val="00D81BBB"/>
    <w:rsid w:val="00D81D0D"/>
    <w:rsid w:val="00D823A6"/>
    <w:rsid w:val="00D8326A"/>
    <w:rsid w:val="00D8391F"/>
    <w:rsid w:val="00D84245"/>
    <w:rsid w:val="00D84E79"/>
    <w:rsid w:val="00D8504F"/>
    <w:rsid w:val="00D85489"/>
    <w:rsid w:val="00D85623"/>
    <w:rsid w:val="00D85C10"/>
    <w:rsid w:val="00D85CEA"/>
    <w:rsid w:val="00D85F78"/>
    <w:rsid w:val="00D86699"/>
    <w:rsid w:val="00D86CA9"/>
    <w:rsid w:val="00D87D54"/>
    <w:rsid w:val="00D9148F"/>
    <w:rsid w:val="00D914EB"/>
    <w:rsid w:val="00D92759"/>
    <w:rsid w:val="00D9281D"/>
    <w:rsid w:val="00D9316E"/>
    <w:rsid w:val="00D931DF"/>
    <w:rsid w:val="00D94500"/>
    <w:rsid w:val="00D94790"/>
    <w:rsid w:val="00D94BF4"/>
    <w:rsid w:val="00D9522C"/>
    <w:rsid w:val="00D95E4A"/>
    <w:rsid w:val="00D965AD"/>
    <w:rsid w:val="00D96CF0"/>
    <w:rsid w:val="00D97831"/>
    <w:rsid w:val="00DA09B8"/>
    <w:rsid w:val="00DA1761"/>
    <w:rsid w:val="00DA1793"/>
    <w:rsid w:val="00DA1C64"/>
    <w:rsid w:val="00DA235A"/>
    <w:rsid w:val="00DA23D2"/>
    <w:rsid w:val="00DA370D"/>
    <w:rsid w:val="00DA4031"/>
    <w:rsid w:val="00DA463F"/>
    <w:rsid w:val="00DA4B23"/>
    <w:rsid w:val="00DA4CEB"/>
    <w:rsid w:val="00DA596C"/>
    <w:rsid w:val="00DA5AC3"/>
    <w:rsid w:val="00DA5E64"/>
    <w:rsid w:val="00DA6281"/>
    <w:rsid w:val="00DA6821"/>
    <w:rsid w:val="00DA6ADE"/>
    <w:rsid w:val="00DA6B3A"/>
    <w:rsid w:val="00DA6C47"/>
    <w:rsid w:val="00DA6CD5"/>
    <w:rsid w:val="00DA6FFC"/>
    <w:rsid w:val="00DA763C"/>
    <w:rsid w:val="00DB057F"/>
    <w:rsid w:val="00DB0950"/>
    <w:rsid w:val="00DB1440"/>
    <w:rsid w:val="00DB156A"/>
    <w:rsid w:val="00DB1EE7"/>
    <w:rsid w:val="00DB23C0"/>
    <w:rsid w:val="00DB2A80"/>
    <w:rsid w:val="00DB2B80"/>
    <w:rsid w:val="00DB2CFC"/>
    <w:rsid w:val="00DB2D44"/>
    <w:rsid w:val="00DB3890"/>
    <w:rsid w:val="00DB3B6D"/>
    <w:rsid w:val="00DB3BDA"/>
    <w:rsid w:val="00DB3F7D"/>
    <w:rsid w:val="00DB4459"/>
    <w:rsid w:val="00DB5398"/>
    <w:rsid w:val="00DB562D"/>
    <w:rsid w:val="00DB5740"/>
    <w:rsid w:val="00DB58B5"/>
    <w:rsid w:val="00DB5D1B"/>
    <w:rsid w:val="00DB6FA0"/>
    <w:rsid w:val="00DC156F"/>
    <w:rsid w:val="00DC164E"/>
    <w:rsid w:val="00DC16E5"/>
    <w:rsid w:val="00DC223D"/>
    <w:rsid w:val="00DC2653"/>
    <w:rsid w:val="00DC462D"/>
    <w:rsid w:val="00DC64A3"/>
    <w:rsid w:val="00DC787A"/>
    <w:rsid w:val="00DC7D81"/>
    <w:rsid w:val="00DC7ECA"/>
    <w:rsid w:val="00DD05F8"/>
    <w:rsid w:val="00DD08EB"/>
    <w:rsid w:val="00DD0B73"/>
    <w:rsid w:val="00DD1CD7"/>
    <w:rsid w:val="00DD29D0"/>
    <w:rsid w:val="00DD58D6"/>
    <w:rsid w:val="00DD6039"/>
    <w:rsid w:val="00DD6A66"/>
    <w:rsid w:val="00DD6B3E"/>
    <w:rsid w:val="00DD6ED8"/>
    <w:rsid w:val="00DD73AD"/>
    <w:rsid w:val="00DD73BA"/>
    <w:rsid w:val="00DE0464"/>
    <w:rsid w:val="00DE046A"/>
    <w:rsid w:val="00DE0756"/>
    <w:rsid w:val="00DE0B93"/>
    <w:rsid w:val="00DE0ECD"/>
    <w:rsid w:val="00DE0F55"/>
    <w:rsid w:val="00DE169D"/>
    <w:rsid w:val="00DE1DDF"/>
    <w:rsid w:val="00DE1E95"/>
    <w:rsid w:val="00DE2448"/>
    <w:rsid w:val="00DE2ACD"/>
    <w:rsid w:val="00DE5ABA"/>
    <w:rsid w:val="00DE5EBD"/>
    <w:rsid w:val="00DE71A2"/>
    <w:rsid w:val="00DE7D3D"/>
    <w:rsid w:val="00DF083F"/>
    <w:rsid w:val="00DF1236"/>
    <w:rsid w:val="00DF1313"/>
    <w:rsid w:val="00DF145A"/>
    <w:rsid w:val="00DF158D"/>
    <w:rsid w:val="00DF1EEA"/>
    <w:rsid w:val="00DF23A4"/>
    <w:rsid w:val="00DF2822"/>
    <w:rsid w:val="00DF351E"/>
    <w:rsid w:val="00DF36AC"/>
    <w:rsid w:val="00DF398B"/>
    <w:rsid w:val="00DF486B"/>
    <w:rsid w:val="00DF4908"/>
    <w:rsid w:val="00DF4AEB"/>
    <w:rsid w:val="00DF4EE4"/>
    <w:rsid w:val="00DF552D"/>
    <w:rsid w:val="00DF62FF"/>
    <w:rsid w:val="00DF7826"/>
    <w:rsid w:val="00E00F26"/>
    <w:rsid w:val="00E01621"/>
    <w:rsid w:val="00E016AA"/>
    <w:rsid w:val="00E02A1A"/>
    <w:rsid w:val="00E02C8B"/>
    <w:rsid w:val="00E02F98"/>
    <w:rsid w:val="00E02FDD"/>
    <w:rsid w:val="00E042FE"/>
    <w:rsid w:val="00E04664"/>
    <w:rsid w:val="00E04869"/>
    <w:rsid w:val="00E04CD5"/>
    <w:rsid w:val="00E0517F"/>
    <w:rsid w:val="00E05B97"/>
    <w:rsid w:val="00E05E01"/>
    <w:rsid w:val="00E06FC4"/>
    <w:rsid w:val="00E0786E"/>
    <w:rsid w:val="00E102E0"/>
    <w:rsid w:val="00E10AF7"/>
    <w:rsid w:val="00E1155A"/>
    <w:rsid w:val="00E1165C"/>
    <w:rsid w:val="00E11ED5"/>
    <w:rsid w:val="00E12153"/>
    <w:rsid w:val="00E12249"/>
    <w:rsid w:val="00E137DD"/>
    <w:rsid w:val="00E14177"/>
    <w:rsid w:val="00E14251"/>
    <w:rsid w:val="00E14289"/>
    <w:rsid w:val="00E1463A"/>
    <w:rsid w:val="00E1558E"/>
    <w:rsid w:val="00E1586E"/>
    <w:rsid w:val="00E15BEF"/>
    <w:rsid w:val="00E161CC"/>
    <w:rsid w:val="00E16D85"/>
    <w:rsid w:val="00E173A9"/>
    <w:rsid w:val="00E1766C"/>
    <w:rsid w:val="00E1781F"/>
    <w:rsid w:val="00E17CAF"/>
    <w:rsid w:val="00E200BF"/>
    <w:rsid w:val="00E20935"/>
    <w:rsid w:val="00E209F6"/>
    <w:rsid w:val="00E21E68"/>
    <w:rsid w:val="00E22B33"/>
    <w:rsid w:val="00E232BE"/>
    <w:rsid w:val="00E23A18"/>
    <w:rsid w:val="00E23DE2"/>
    <w:rsid w:val="00E23FFE"/>
    <w:rsid w:val="00E24F2D"/>
    <w:rsid w:val="00E2503A"/>
    <w:rsid w:val="00E25046"/>
    <w:rsid w:val="00E2702D"/>
    <w:rsid w:val="00E2781A"/>
    <w:rsid w:val="00E27980"/>
    <w:rsid w:val="00E30026"/>
    <w:rsid w:val="00E30FA5"/>
    <w:rsid w:val="00E31004"/>
    <w:rsid w:val="00E31092"/>
    <w:rsid w:val="00E31A1D"/>
    <w:rsid w:val="00E32462"/>
    <w:rsid w:val="00E32EFE"/>
    <w:rsid w:val="00E3318F"/>
    <w:rsid w:val="00E331B7"/>
    <w:rsid w:val="00E33820"/>
    <w:rsid w:val="00E33CA7"/>
    <w:rsid w:val="00E33F1E"/>
    <w:rsid w:val="00E3495C"/>
    <w:rsid w:val="00E34F31"/>
    <w:rsid w:val="00E356F0"/>
    <w:rsid w:val="00E35818"/>
    <w:rsid w:val="00E3585F"/>
    <w:rsid w:val="00E358E7"/>
    <w:rsid w:val="00E3643E"/>
    <w:rsid w:val="00E365B5"/>
    <w:rsid w:val="00E36610"/>
    <w:rsid w:val="00E36A3B"/>
    <w:rsid w:val="00E378E2"/>
    <w:rsid w:val="00E37998"/>
    <w:rsid w:val="00E402D9"/>
    <w:rsid w:val="00E40C3A"/>
    <w:rsid w:val="00E427E0"/>
    <w:rsid w:val="00E42824"/>
    <w:rsid w:val="00E43D92"/>
    <w:rsid w:val="00E43E07"/>
    <w:rsid w:val="00E43F18"/>
    <w:rsid w:val="00E44AA8"/>
    <w:rsid w:val="00E456F8"/>
    <w:rsid w:val="00E459DD"/>
    <w:rsid w:val="00E46D6C"/>
    <w:rsid w:val="00E46DF1"/>
    <w:rsid w:val="00E46FFE"/>
    <w:rsid w:val="00E471C6"/>
    <w:rsid w:val="00E474FC"/>
    <w:rsid w:val="00E476F3"/>
    <w:rsid w:val="00E500C4"/>
    <w:rsid w:val="00E5093C"/>
    <w:rsid w:val="00E50ABB"/>
    <w:rsid w:val="00E50C76"/>
    <w:rsid w:val="00E50F84"/>
    <w:rsid w:val="00E516F3"/>
    <w:rsid w:val="00E5189C"/>
    <w:rsid w:val="00E51B98"/>
    <w:rsid w:val="00E51CB1"/>
    <w:rsid w:val="00E51EBD"/>
    <w:rsid w:val="00E52062"/>
    <w:rsid w:val="00E52616"/>
    <w:rsid w:val="00E52E12"/>
    <w:rsid w:val="00E537EE"/>
    <w:rsid w:val="00E53C5E"/>
    <w:rsid w:val="00E53EA0"/>
    <w:rsid w:val="00E53EBB"/>
    <w:rsid w:val="00E54029"/>
    <w:rsid w:val="00E54BCB"/>
    <w:rsid w:val="00E55206"/>
    <w:rsid w:val="00E564FE"/>
    <w:rsid w:val="00E571B4"/>
    <w:rsid w:val="00E57C4A"/>
    <w:rsid w:val="00E60529"/>
    <w:rsid w:val="00E605C9"/>
    <w:rsid w:val="00E60A8C"/>
    <w:rsid w:val="00E60DA8"/>
    <w:rsid w:val="00E612BB"/>
    <w:rsid w:val="00E62053"/>
    <w:rsid w:val="00E62747"/>
    <w:rsid w:val="00E62802"/>
    <w:rsid w:val="00E62A39"/>
    <w:rsid w:val="00E6308F"/>
    <w:rsid w:val="00E63AD1"/>
    <w:rsid w:val="00E6429C"/>
    <w:rsid w:val="00E6443F"/>
    <w:rsid w:val="00E650D5"/>
    <w:rsid w:val="00E652B5"/>
    <w:rsid w:val="00E65315"/>
    <w:rsid w:val="00E65D3F"/>
    <w:rsid w:val="00E65F92"/>
    <w:rsid w:val="00E66616"/>
    <w:rsid w:val="00E669F4"/>
    <w:rsid w:val="00E672CE"/>
    <w:rsid w:val="00E6766E"/>
    <w:rsid w:val="00E67821"/>
    <w:rsid w:val="00E67DF5"/>
    <w:rsid w:val="00E70FD8"/>
    <w:rsid w:val="00E71095"/>
    <w:rsid w:val="00E715D3"/>
    <w:rsid w:val="00E71AAC"/>
    <w:rsid w:val="00E72F2A"/>
    <w:rsid w:val="00E73010"/>
    <w:rsid w:val="00E73FC1"/>
    <w:rsid w:val="00E73FF9"/>
    <w:rsid w:val="00E74658"/>
    <w:rsid w:val="00E74795"/>
    <w:rsid w:val="00E75092"/>
    <w:rsid w:val="00E75138"/>
    <w:rsid w:val="00E75C8D"/>
    <w:rsid w:val="00E7634D"/>
    <w:rsid w:val="00E76440"/>
    <w:rsid w:val="00E768CF"/>
    <w:rsid w:val="00E76D04"/>
    <w:rsid w:val="00E77EAB"/>
    <w:rsid w:val="00E77F58"/>
    <w:rsid w:val="00E80CFB"/>
    <w:rsid w:val="00E810D3"/>
    <w:rsid w:val="00E81567"/>
    <w:rsid w:val="00E815A3"/>
    <w:rsid w:val="00E81CEA"/>
    <w:rsid w:val="00E81FA5"/>
    <w:rsid w:val="00E827FE"/>
    <w:rsid w:val="00E83F93"/>
    <w:rsid w:val="00E84038"/>
    <w:rsid w:val="00E84371"/>
    <w:rsid w:val="00E84580"/>
    <w:rsid w:val="00E847AA"/>
    <w:rsid w:val="00E848D2"/>
    <w:rsid w:val="00E84CA0"/>
    <w:rsid w:val="00E84EDA"/>
    <w:rsid w:val="00E84FB0"/>
    <w:rsid w:val="00E857EE"/>
    <w:rsid w:val="00E8582C"/>
    <w:rsid w:val="00E858CD"/>
    <w:rsid w:val="00E8593E"/>
    <w:rsid w:val="00E85BBE"/>
    <w:rsid w:val="00E86C76"/>
    <w:rsid w:val="00E86CBE"/>
    <w:rsid w:val="00E87099"/>
    <w:rsid w:val="00E871CC"/>
    <w:rsid w:val="00E877F7"/>
    <w:rsid w:val="00E87B85"/>
    <w:rsid w:val="00E87B87"/>
    <w:rsid w:val="00E9092D"/>
    <w:rsid w:val="00E91200"/>
    <w:rsid w:val="00E918B8"/>
    <w:rsid w:val="00E91963"/>
    <w:rsid w:val="00E9211E"/>
    <w:rsid w:val="00E92FB2"/>
    <w:rsid w:val="00E933AF"/>
    <w:rsid w:val="00E934ED"/>
    <w:rsid w:val="00E944B0"/>
    <w:rsid w:val="00E94584"/>
    <w:rsid w:val="00E94B33"/>
    <w:rsid w:val="00E94BB7"/>
    <w:rsid w:val="00E9509D"/>
    <w:rsid w:val="00E9537F"/>
    <w:rsid w:val="00E95832"/>
    <w:rsid w:val="00E95A2D"/>
    <w:rsid w:val="00E95B05"/>
    <w:rsid w:val="00E9628E"/>
    <w:rsid w:val="00E9692C"/>
    <w:rsid w:val="00E96CDA"/>
    <w:rsid w:val="00E97101"/>
    <w:rsid w:val="00E97495"/>
    <w:rsid w:val="00E97600"/>
    <w:rsid w:val="00E97672"/>
    <w:rsid w:val="00EA10CD"/>
    <w:rsid w:val="00EA1CE8"/>
    <w:rsid w:val="00EA218B"/>
    <w:rsid w:val="00EA25DA"/>
    <w:rsid w:val="00EA2D19"/>
    <w:rsid w:val="00EA39C0"/>
    <w:rsid w:val="00EA50DE"/>
    <w:rsid w:val="00EA5531"/>
    <w:rsid w:val="00EA5E8D"/>
    <w:rsid w:val="00EA71B8"/>
    <w:rsid w:val="00EA7A92"/>
    <w:rsid w:val="00EA7D58"/>
    <w:rsid w:val="00EB090A"/>
    <w:rsid w:val="00EB0B5F"/>
    <w:rsid w:val="00EB0DEE"/>
    <w:rsid w:val="00EB133D"/>
    <w:rsid w:val="00EB17EF"/>
    <w:rsid w:val="00EB2440"/>
    <w:rsid w:val="00EB26E0"/>
    <w:rsid w:val="00EB2728"/>
    <w:rsid w:val="00EB2A74"/>
    <w:rsid w:val="00EB2DF0"/>
    <w:rsid w:val="00EB2EA6"/>
    <w:rsid w:val="00EB2F11"/>
    <w:rsid w:val="00EB31D6"/>
    <w:rsid w:val="00EB3612"/>
    <w:rsid w:val="00EB36A1"/>
    <w:rsid w:val="00EB3900"/>
    <w:rsid w:val="00EB394C"/>
    <w:rsid w:val="00EB40DD"/>
    <w:rsid w:val="00EB484C"/>
    <w:rsid w:val="00EB5B37"/>
    <w:rsid w:val="00EB5DB7"/>
    <w:rsid w:val="00EB5FC0"/>
    <w:rsid w:val="00EB652A"/>
    <w:rsid w:val="00EB751C"/>
    <w:rsid w:val="00EB782B"/>
    <w:rsid w:val="00EB7888"/>
    <w:rsid w:val="00EB7DF0"/>
    <w:rsid w:val="00EC1351"/>
    <w:rsid w:val="00EC26AE"/>
    <w:rsid w:val="00EC2802"/>
    <w:rsid w:val="00EC2E8A"/>
    <w:rsid w:val="00EC3EE4"/>
    <w:rsid w:val="00EC43F0"/>
    <w:rsid w:val="00EC53A7"/>
    <w:rsid w:val="00EC5C18"/>
    <w:rsid w:val="00EC5C78"/>
    <w:rsid w:val="00EC60DB"/>
    <w:rsid w:val="00EC66E0"/>
    <w:rsid w:val="00EC6B90"/>
    <w:rsid w:val="00EC6BC5"/>
    <w:rsid w:val="00EC6CE9"/>
    <w:rsid w:val="00EC7866"/>
    <w:rsid w:val="00ED042C"/>
    <w:rsid w:val="00ED0623"/>
    <w:rsid w:val="00ED0A77"/>
    <w:rsid w:val="00ED14FE"/>
    <w:rsid w:val="00ED17DD"/>
    <w:rsid w:val="00ED1EAE"/>
    <w:rsid w:val="00ED2570"/>
    <w:rsid w:val="00ED28B6"/>
    <w:rsid w:val="00ED336E"/>
    <w:rsid w:val="00ED3439"/>
    <w:rsid w:val="00ED3837"/>
    <w:rsid w:val="00ED4118"/>
    <w:rsid w:val="00ED4211"/>
    <w:rsid w:val="00ED49F1"/>
    <w:rsid w:val="00ED4D0C"/>
    <w:rsid w:val="00ED593A"/>
    <w:rsid w:val="00ED5B0F"/>
    <w:rsid w:val="00ED61E6"/>
    <w:rsid w:val="00ED63B6"/>
    <w:rsid w:val="00ED64C8"/>
    <w:rsid w:val="00ED6905"/>
    <w:rsid w:val="00ED766D"/>
    <w:rsid w:val="00EE04EA"/>
    <w:rsid w:val="00EE124B"/>
    <w:rsid w:val="00EE1CB4"/>
    <w:rsid w:val="00EE1F67"/>
    <w:rsid w:val="00EE27E6"/>
    <w:rsid w:val="00EE2879"/>
    <w:rsid w:val="00EE2CD9"/>
    <w:rsid w:val="00EE2D60"/>
    <w:rsid w:val="00EE3428"/>
    <w:rsid w:val="00EE399F"/>
    <w:rsid w:val="00EE3BC9"/>
    <w:rsid w:val="00EE43E1"/>
    <w:rsid w:val="00EE44D3"/>
    <w:rsid w:val="00EE4829"/>
    <w:rsid w:val="00EE482E"/>
    <w:rsid w:val="00EE49F4"/>
    <w:rsid w:val="00EE56FE"/>
    <w:rsid w:val="00EE5AE6"/>
    <w:rsid w:val="00EE6A78"/>
    <w:rsid w:val="00EE7B02"/>
    <w:rsid w:val="00EF041D"/>
    <w:rsid w:val="00EF0A7E"/>
    <w:rsid w:val="00EF2C21"/>
    <w:rsid w:val="00EF2C5A"/>
    <w:rsid w:val="00EF4540"/>
    <w:rsid w:val="00EF4866"/>
    <w:rsid w:val="00EF4A9E"/>
    <w:rsid w:val="00EF4E6E"/>
    <w:rsid w:val="00EF5382"/>
    <w:rsid w:val="00EF56A3"/>
    <w:rsid w:val="00EF5E4E"/>
    <w:rsid w:val="00EF6936"/>
    <w:rsid w:val="00EF73D0"/>
    <w:rsid w:val="00EF7AB0"/>
    <w:rsid w:val="00F00F41"/>
    <w:rsid w:val="00F011E0"/>
    <w:rsid w:val="00F01572"/>
    <w:rsid w:val="00F01992"/>
    <w:rsid w:val="00F029C3"/>
    <w:rsid w:val="00F02DD6"/>
    <w:rsid w:val="00F0347B"/>
    <w:rsid w:val="00F034BF"/>
    <w:rsid w:val="00F03863"/>
    <w:rsid w:val="00F03885"/>
    <w:rsid w:val="00F0410A"/>
    <w:rsid w:val="00F04BD2"/>
    <w:rsid w:val="00F05136"/>
    <w:rsid w:val="00F0700D"/>
    <w:rsid w:val="00F114F5"/>
    <w:rsid w:val="00F1193D"/>
    <w:rsid w:val="00F11BE7"/>
    <w:rsid w:val="00F11DC0"/>
    <w:rsid w:val="00F131EB"/>
    <w:rsid w:val="00F1359D"/>
    <w:rsid w:val="00F1398E"/>
    <w:rsid w:val="00F13F27"/>
    <w:rsid w:val="00F13F52"/>
    <w:rsid w:val="00F1419F"/>
    <w:rsid w:val="00F160C9"/>
    <w:rsid w:val="00F16391"/>
    <w:rsid w:val="00F16641"/>
    <w:rsid w:val="00F166DD"/>
    <w:rsid w:val="00F1687D"/>
    <w:rsid w:val="00F17515"/>
    <w:rsid w:val="00F17824"/>
    <w:rsid w:val="00F17880"/>
    <w:rsid w:val="00F2087B"/>
    <w:rsid w:val="00F20948"/>
    <w:rsid w:val="00F20C28"/>
    <w:rsid w:val="00F20D6B"/>
    <w:rsid w:val="00F2225C"/>
    <w:rsid w:val="00F22462"/>
    <w:rsid w:val="00F22775"/>
    <w:rsid w:val="00F2352E"/>
    <w:rsid w:val="00F24004"/>
    <w:rsid w:val="00F24635"/>
    <w:rsid w:val="00F24781"/>
    <w:rsid w:val="00F251C5"/>
    <w:rsid w:val="00F25272"/>
    <w:rsid w:val="00F256DD"/>
    <w:rsid w:val="00F25964"/>
    <w:rsid w:val="00F27A61"/>
    <w:rsid w:val="00F3035E"/>
    <w:rsid w:val="00F31402"/>
    <w:rsid w:val="00F31B51"/>
    <w:rsid w:val="00F31BE4"/>
    <w:rsid w:val="00F32C87"/>
    <w:rsid w:val="00F33155"/>
    <w:rsid w:val="00F331D7"/>
    <w:rsid w:val="00F333A1"/>
    <w:rsid w:val="00F33B5A"/>
    <w:rsid w:val="00F33C48"/>
    <w:rsid w:val="00F351FC"/>
    <w:rsid w:val="00F3555B"/>
    <w:rsid w:val="00F3587E"/>
    <w:rsid w:val="00F35BEC"/>
    <w:rsid w:val="00F36030"/>
    <w:rsid w:val="00F3613B"/>
    <w:rsid w:val="00F3653F"/>
    <w:rsid w:val="00F366DA"/>
    <w:rsid w:val="00F36A92"/>
    <w:rsid w:val="00F37114"/>
    <w:rsid w:val="00F377FA"/>
    <w:rsid w:val="00F400DF"/>
    <w:rsid w:val="00F401FD"/>
    <w:rsid w:val="00F42A0B"/>
    <w:rsid w:val="00F42EDC"/>
    <w:rsid w:val="00F43363"/>
    <w:rsid w:val="00F43688"/>
    <w:rsid w:val="00F43A29"/>
    <w:rsid w:val="00F43E41"/>
    <w:rsid w:val="00F443A0"/>
    <w:rsid w:val="00F449AE"/>
    <w:rsid w:val="00F45986"/>
    <w:rsid w:val="00F4599B"/>
    <w:rsid w:val="00F45F7D"/>
    <w:rsid w:val="00F45FF1"/>
    <w:rsid w:val="00F460B9"/>
    <w:rsid w:val="00F46292"/>
    <w:rsid w:val="00F465C2"/>
    <w:rsid w:val="00F46F8E"/>
    <w:rsid w:val="00F47C77"/>
    <w:rsid w:val="00F50021"/>
    <w:rsid w:val="00F50430"/>
    <w:rsid w:val="00F509DC"/>
    <w:rsid w:val="00F5121E"/>
    <w:rsid w:val="00F5123E"/>
    <w:rsid w:val="00F514FC"/>
    <w:rsid w:val="00F51798"/>
    <w:rsid w:val="00F528D2"/>
    <w:rsid w:val="00F5298E"/>
    <w:rsid w:val="00F52A66"/>
    <w:rsid w:val="00F52AF6"/>
    <w:rsid w:val="00F532CE"/>
    <w:rsid w:val="00F5351B"/>
    <w:rsid w:val="00F54F84"/>
    <w:rsid w:val="00F5570E"/>
    <w:rsid w:val="00F55BB1"/>
    <w:rsid w:val="00F55DAF"/>
    <w:rsid w:val="00F5675D"/>
    <w:rsid w:val="00F56922"/>
    <w:rsid w:val="00F57172"/>
    <w:rsid w:val="00F57266"/>
    <w:rsid w:val="00F601A3"/>
    <w:rsid w:val="00F60A15"/>
    <w:rsid w:val="00F6110E"/>
    <w:rsid w:val="00F618EA"/>
    <w:rsid w:val="00F61C67"/>
    <w:rsid w:val="00F6209E"/>
    <w:rsid w:val="00F6276F"/>
    <w:rsid w:val="00F62D74"/>
    <w:rsid w:val="00F62D9A"/>
    <w:rsid w:val="00F63073"/>
    <w:rsid w:val="00F63245"/>
    <w:rsid w:val="00F634FF"/>
    <w:rsid w:val="00F63F5D"/>
    <w:rsid w:val="00F643C2"/>
    <w:rsid w:val="00F64BF9"/>
    <w:rsid w:val="00F6530B"/>
    <w:rsid w:val="00F65882"/>
    <w:rsid w:val="00F662E2"/>
    <w:rsid w:val="00F66492"/>
    <w:rsid w:val="00F665C6"/>
    <w:rsid w:val="00F66A96"/>
    <w:rsid w:val="00F66B02"/>
    <w:rsid w:val="00F6739B"/>
    <w:rsid w:val="00F677AA"/>
    <w:rsid w:val="00F67C28"/>
    <w:rsid w:val="00F702D1"/>
    <w:rsid w:val="00F709FC"/>
    <w:rsid w:val="00F70E82"/>
    <w:rsid w:val="00F71FB8"/>
    <w:rsid w:val="00F727A1"/>
    <w:rsid w:val="00F73EBD"/>
    <w:rsid w:val="00F7472E"/>
    <w:rsid w:val="00F74912"/>
    <w:rsid w:val="00F74B48"/>
    <w:rsid w:val="00F74E8D"/>
    <w:rsid w:val="00F74EC2"/>
    <w:rsid w:val="00F759D2"/>
    <w:rsid w:val="00F75AA4"/>
    <w:rsid w:val="00F75BF6"/>
    <w:rsid w:val="00F76DC0"/>
    <w:rsid w:val="00F76FE1"/>
    <w:rsid w:val="00F770B5"/>
    <w:rsid w:val="00F77C5D"/>
    <w:rsid w:val="00F77E46"/>
    <w:rsid w:val="00F80927"/>
    <w:rsid w:val="00F816D7"/>
    <w:rsid w:val="00F82466"/>
    <w:rsid w:val="00F82C87"/>
    <w:rsid w:val="00F82E3D"/>
    <w:rsid w:val="00F83358"/>
    <w:rsid w:val="00F8356A"/>
    <w:rsid w:val="00F84A4D"/>
    <w:rsid w:val="00F84C4E"/>
    <w:rsid w:val="00F851DE"/>
    <w:rsid w:val="00F85B42"/>
    <w:rsid w:val="00F85B4C"/>
    <w:rsid w:val="00F85F1B"/>
    <w:rsid w:val="00F866C7"/>
    <w:rsid w:val="00F86DB1"/>
    <w:rsid w:val="00F87773"/>
    <w:rsid w:val="00F879F4"/>
    <w:rsid w:val="00F87A39"/>
    <w:rsid w:val="00F87AD5"/>
    <w:rsid w:val="00F87DD2"/>
    <w:rsid w:val="00F90611"/>
    <w:rsid w:val="00F908F9"/>
    <w:rsid w:val="00F91607"/>
    <w:rsid w:val="00F919B6"/>
    <w:rsid w:val="00F91BFC"/>
    <w:rsid w:val="00F92AC1"/>
    <w:rsid w:val="00F92EA8"/>
    <w:rsid w:val="00F94EC1"/>
    <w:rsid w:val="00F963F4"/>
    <w:rsid w:val="00F96EA3"/>
    <w:rsid w:val="00F97611"/>
    <w:rsid w:val="00F9765C"/>
    <w:rsid w:val="00F97D24"/>
    <w:rsid w:val="00FA07D4"/>
    <w:rsid w:val="00FA0837"/>
    <w:rsid w:val="00FA1B72"/>
    <w:rsid w:val="00FA28C4"/>
    <w:rsid w:val="00FA2DD9"/>
    <w:rsid w:val="00FA53AE"/>
    <w:rsid w:val="00FA5E12"/>
    <w:rsid w:val="00FA656D"/>
    <w:rsid w:val="00FA669D"/>
    <w:rsid w:val="00FA6847"/>
    <w:rsid w:val="00FA6B66"/>
    <w:rsid w:val="00FA7C9A"/>
    <w:rsid w:val="00FB1760"/>
    <w:rsid w:val="00FB17A5"/>
    <w:rsid w:val="00FB2219"/>
    <w:rsid w:val="00FB27CA"/>
    <w:rsid w:val="00FB297F"/>
    <w:rsid w:val="00FB31C4"/>
    <w:rsid w:val="00FB3518"/>
    <w:rsid w:val="00FB3583"/>
    <w:rsid w:val="00FB4172"/>
    <w:rsid w:val="00FB4711"/>
    <w:rsid w:val="00FB4C61"/>
    <w:rsid w:val="00FB5522"/>
    <w:rsid w:val="00FB5FA7"/>
    <w:rsid w:val="00FB6E19"/>
    <w:rsid w:val="00FB709A"/>
    <w:rsid w:val="00FC01F8"/>
    <w:rsid w:val="00FC1384"/>
    <w:rsid w:val="00FC1D23"/>
    <w:rsid w:val="00FC1F34"/>
    <w:rsid w:val="00FC2636"/>
    <w:rsid w:val="00FC277C"/>
    <w:rsid w:val="00FC2EA5"/>
    <w:rsid w:val="00FC30FC"/>
    <w:rsid w:val="00FC3247"/>
    <w:rsid w:val="00FC39DA"/>
    <w:rsid w:val="00FC3A40"/>
    <w:rsid w:val="00FC50DE"/>
    <w:rsid w:val="00FC6C41"/>
    <w:rsid w:val="00FC75E4"/>
    <w:rsid w:val="00FC797F"/>
    <w:rsid w:val="00FD041F"/>
    <w:rsid w:val="00FD06A9"/>
    <w:rsid w:val="00FD1758"/>
    <w:rsid w:val="00FD17DB"/>
    <w:rsid w:val="00FD19D3"/>
    <w:rsid w:val="00FD1C9A"/>
    <w:rsid w:val="00FD1E19"/>
    <w:rsid w:val="00FD2054"/>
    <w:rsid w:val="00FD24F9"/>
    <w:rsid w:val="00FD2766"/>
    <w:rsid w:val="00FD3A4E"/>
    <w:rsid w:val="00FD3D64"/>
    <w:rsid w:val="00FD3D8F"/>
    <w:rsid w:val="00FD4262"/>
    <w:rsid w:val="00FD45CB"/>
    <w:rsid w:val="00FD47BF"/>
    <w:rsid w:val="00FD4E11"/>
    <w:rsid w:val="00FD53E4"/>
    <w:rsid w:val="00FD635B"/>
    <w:rsid w:val="00FD6760"/>
    <w:rsid w:val="00FD77FE"/>
    <w:rsid w:val="00FE0274"/>
    <w:rsid w:val="00FE046B"/>
    <w:rsid w:val="00FE0523"/>
    <w:rsid w:val="00FE061F"/>
    <w:rsid w:val="00FE0AAC"/>
    <w:rsid w:val="00FE0C0B"/>
    <w:rsid w:val="00FE1821"/>
    <w:rsid w:val="00FE1A5B"/>
    <w:rsid w:val="00FE1D33"/>
    <w:rsid w:val="00FE20ED"/>
    <w:rsid w:val="00FE23E7"/>
    <w:rsid w:val="00FE25DD"/>
    <w:rsid w:val="00FE317C"/>
    <w:rsid w:val="00FE4346"/>
    <w:rsid w:val="00FE4ADB"/>
    <w:rsid w:val="00FE4BC6"/>
    <w:rsid w:val="00FE570B"/>
    <w:rsid w:val="00FE639C"/>
    <w:rsid w:val="00FE695C"/>
    <w:rsid w:val="00FE6B14"/>
    <w:rsid w:val="00FE6D71"/>
    <w:rsid w:val="00FE6E97"/>
    <w:rsid w:val="00FE708E"/>
    <w:rsid w:val="00FE7488"/>
    <w:rsid w:val="00FE77A6"/>
    <w:rsid w:val="00FE7D5B"/>
    <w:rsid w:val="00FF1CDF"/>
    <w:rsid w:val="00FF2E98"/>
    <w:rsid w:val="00FF3769"/>
    <w:rsid w:val="00FF3DDA"/>
    <w:rsid w:val="00FF469F"/>
    <w:rsid w:val="00FF59C4"/>
    <w:rsid w:val="00FF68C3"/>
    <w:rsid w:val="00FF7A6B"/>
    <w:rsid w:val="00FF7AA6"/>
    <w:rsid w:val="0105D072"/>
    <w:rsid w:val="017D193B"/>
    <w:rsid w:val="01AD51FB"/>
    <w:rsid w:val="01B7502E"/>
    <w:rsid w:val="01E6DD51"/>
    <w:rsid w:val="01F9681C"/>
    <w:rsid w:val="020C59F3"/>
    <w:rsid w:val="0224AB6A"/>
    <w:rsid w:val="022A2C7E"/>
    <w:rsid w:val="023BC631"/>
    <w:rsid w:val="0261D306"/>
    <w:rsid w:val="0271FD27"/>
    <w:rsid w:val="0282DDDC"/>
    <w:rsid w:val="02EF2B7A"/>
    <w:rsid w:val="030033E9"/>
    <w:rsid w:val="033338F3"/>
    <w:rsid w:val="0333BD7F"/>
    <w:rsid w:val="03577FE1"/>
    <w:rsid w:val="037799E0"/>
    <w:rsid w:val="037909A3"/>
    <w:rsid w:val="037C3B69"/>
    <w:rsid w:val="03A17AE5"/>
    <w:rsid w:val="03B70EA9"/>
    <w:rsid w:val="03C110E2"/>
    <w:rsid w:val="03E5D315"/>
    <w:rsid w:val="0418B067"/>
    <w:rsid w:val="0436A9A1"/>
    <w:rsid w:val="0484F488"/>
    <w:rsid w:val="0491B554"/>
    <w:rsid w:val="04D5E587"/>
    <w:rsid w:val="04EFEB77"/>
    <w:rsid w:val="051306E4"/>
    <w:rsid w:val="05146A22"/>
    <w:rsid w:val="0528FCEE"/>
    <w:rsid w:val="052A0225"/>
    <w:rsid w:val="053E35D1"/>
    <w:rsid w:val="0546BBC9"/>
    <w:rsid w:val="055673A3"/>
    <w:rsid w:val="0585656E"/>
    <w:rsid w:val="059F39AC"/>
    <w:rsid w:val="05AF9E12"/>
    <w:rsid w:val="05B4601E"/>
    <w:rsid w:val="06381F97"/>
    <w:rsid w:val="067330C2"/>
    <w:rsid w:val="0699B071"/>
    <w:rsid w:val="06BEE876"/>
    <w:rsid w:val="06F81F0C"/>
    <w:rsid w:val="07101191"/>
    <w:rsid w:val="079F7FC2"/>
    <w:rsid w:val="07C8327C"/>
    <w:rsid w:val="07D1439C"/>
    <w:rsid w:val="081B5DA1"/>
    <w:rsid w:val="081E21BF"/>
    <w:rsid w:val="0837BEB2"/>
    <w:rsid w:val="087E5C8B"/>
    <w:rsid w:val="088A3204"/>
    <w:rsid w:val="08918F95"/>
    <w:rsid w:val="08A69D08"/>
    <w:rsid w:val="08CFB2C9"/>
    <w:rsid w:val="08D2D883"/>
    <w:rsid w:val="08E02784"/>
    <w:rsid w:val="08F7D9A4"/>
    <w:rsid w:val="090E9A92"/>
    <w:rsid w:val="093515BC"/>
    <w:rsid w:val="0966CA4D"/>
    <w:rsid w:val="097B244D"/>
    <w:rsid w:val="09A07BA7"/>
    <w:rsid w:val="09A37524"/>
    <w:rsid w:val="09C0DD4B"/>
    <w:rsid w:val="09EC905D"/>
    <w:rsid w:val="09F7D8A6"/>
    <w:rsid w:val="0A0F6BF3"/>
    <w:rsid w:val="0A114C9A"/>
    <w:rsid w:val="0A3FC10D"/>
    <w:rsid w:val="0A4C1677"/>
    <w:rsid w:val="0A6E1CA3"/>
    <w:rsid w:val="0AACB2B8"/>
    <w:rsid w:val="0AD3BEAC"/>
    <w:rsid w:val="0AF8A15A"/>
    <w:rsid w:val="0B026A5F"/>
    <w:rsid w:val="0B04D952"/>
    <w:rsid w:val="0B08E45E"/>
    <w:rsid w:val="0B1869C5"/>
    <w:rsid w:val="0B1C6919"/>
    <w:rsid w:val="0B4FE14D"/>
    <w:rsid w:val="0B563717"/>
    <w:rsid w:val="0B5CD768"/>
    <w:rsid w:val="0B92319D"/>
    <w:rsid w:val="0B9FEBF5"/>
    <w:rsid w:val="0BA108D7"/>
    <w:rsid w:val="0BC92F6C"/>
    <w:rsid w:val="0BDE3DCA"/>
    <w:rsid w:val="0BECBE03"/>
    <w:rsid w:val="0C0BA5A6"/>
    <w:rsid w:val="0C374842"/>
    <w:rsid w:val="0C8A061E"/>
    <w:rsid w:val="0C989954"/>
    <w:rsid w:val="0D485D2B"/>
    <w:rsid w:val="0D5751FB"/>
    <w:rsid w:val="0D5B029D"/>
    <w:rsid w:val="0D5DA533"/>
    <w:rsid w:val="0D69CD04"/>
    <w:rsid w:val="0D6E93EE"/>
    <w:rsid w:val="0DABEE0C"/>
    <w:rsid w:val="0DAE730A"/>
    <w:rsid w:val="0E19F2E8"/>
    <w:rsid w:val="0E2A91B3"/>
    <w:rsid w:val="0E531EE0"/>
    <w:rsid w:val="0E698FEB"/>
    <w:rsid w:val="0E87D1FB"/>
    <w:rsid w:val="0EB2DCA8"/>
    <w:rsid w:val="0EBEEE10"/>
    <w:rsid w:val="0EC1DB43"/>
    <w:rsid w:val="0EF3225C"/>
    <w:rsid w:val="0F15DE8C"/>
    <w:rsid w:val="0F1CF971"/>
    <w:rsid w:val="0F411F5C"/>
    <w:rsid w:val="0F605570"/>
    <w:rsid w:val="0F82DFE9"/>
    <w:rsid w:val="0F880641"/>
    <w:rsid w:val="0F8D09C4"/>
    <w:rsid w:val="0F952C2B"/>
    <w:rsid w:val="0FC8715F"/>
    <w:rsid w:val="0FDDEE6B"/>
    <w:rsid w:val="0FDF01DD"/>
    <w:rsid w:val="1036D7DA"/>
    <w:rsid w:val="1062A2F0"/>
    <w:rsid w:val="10B8C9D2"/>
    <w:rsid w:val="10C236A1"/>
    <w:rsid w:val="10C2DE92"/>
    <w:rsid w:val="10D01D36"/>
    <w:rsid w:val="10F6181A"/>
    <w:rsid w:val="10F80351"/>
    <w:rsid w:val="10FE6B29"/>
    <w:rsid w:val="114F9DEB"/>
    <w:rsid w:val="117301CE"/>
    <w:rsid w:val="117B4FA8"/>
    <w:rsid w:val="11A92CE1"/>
    <w:rsid w:val="11DEA0F8"/>
    <w:rsid w:val="11EE09E8"/>
    <w:rsid w:val="11F01F2D"/>
    <w:rsid w:val="11FE7C58"/>
    <w:rsid w:val="12359ECE"/>
    <w:rsid w:val="12549A33"/>
    <w:rsid w:val="125AD441"/>
    <w:rsid w:val="131F1295"/>
    <w:rsid w:val="1329297C"/>
    <w:rsid w:val="133401E0"/>
    <w:rsid w:val="134E9E18"/>
    <w:rsid w:val="136E7FC4"/>
    <w:rsid w:val="1375111A"/>
    <w:rsid w:val="13B103A4"/>
    <w:rsid w:val="13BF8C35"/>
    <w:rsid w:val="13C057F8"/>
    <w:rsid w:val="13F06A94"/>
    <w:rsid w:val="142DB8DC"/>
    <w:rsid w:val="14BCCA27"/>
    <w:rsid w:val="14FB50EA"/>
    <w:rsid w:val="1513FADD"/>
    <w:rsid w:val="15493F30"/>
    <w:rsid w:val="15656BCD"/>
    <w:rsid w:val="156DE629"/>
    <w:rsid w:val="1574DEE9"/>
    <w:rsid w:val="15934693"/>
    <w:rsid w:val="1597C740"/>
    <w:rsid w:val="15CD98F4"/>
    <w:rsid w:val="15D1DC4C"/>
    <w:rsid w:val="163BAE10"/>
    <w:rsid w:val="164A785D"/>
    <w:rsid w:val="169F816B"/>
    <w:rsid w:val="16DBF713"/>
    <w:rsid w:val="16F84CB3"/>
    <w:rsid w:val="1710AF4A"/>
    <w:rsid w:val="172FB62D"/>
    <w:rsid w:val="173DD357"/>
    <w:rsid w:val="174A1F07"/>
    <w:rsid w:val="17E35C5A"/>
    <w:rsid w:val="1803E47B"/>
    <w:rsid w:val="1804C13D"/>
    <w:rsid w:val="1821572A"/>
    <w:rsid w:val="18388DAB"/>
    <w:rsid w:val="184DE27C"/>
    <w:rsid w:val="18CD4886"/>
    <w:rsid w:val="18EB87E6"/>
    <w:rsid w:val="1927CE7B"/>
    <w:rsid w:val="1929F99E"/>
    <w:rsid w:val="19429144"/>
    <w:rsid w:val="197ED2C5"/>
    <w:rsid w:val="198F6E94"/>
    <w:rsid w:val="19B73E0F"/>
    <w:rsid w:val="1A214D7B"/>
    <w:rsid w:val="1A6D49F6"/>
    <w:rsid w:val="1A7325E9"/>
    <w:rsid w:val="1ADC4321"/>
    <w:rsid w:val="1BE012FB"/>
    <w:rsid w:val="1BE4A6C6"/>
    <w:rsid w:val="1BE508D2"/>
    <w:rsid w:val="1BF80CAE"/>
    <w:rsid w:val="1CBE7220"/>
    <w:rsid w:val="1CE79FD0"/>
    <w:rsid w:val="1CFE3877"/>
    <w:rsid w:val="1D34E0C3"/>
    <w:rsid w:val="1D666E7B"/>
    <w:rsid w:val="1D76404A"/>
    <w:rsid w:val="1DDC700E"/>
    <w:rsid w:val="1DE93C6D"/>
    <w:rsid w:val="1DEFC963"/>
    <w:rsid w:val="1E441618"/>
    <w:rsid w:val="1E73947D"/>
    <w:rsid w:val="1E7B0770"/>
    <w:rsid w:val="1E9F240F"/>
    <w:rsid w:val="1F0BAF5F"/>
    <w:rsid w:val="1F1210AB"/>
    <w:rsid w:val="1F252815"/>
    <w:rsid w:val="1F2A4781"/>
    <w:rsid w:val="1F73DF24"/>
    <w:rsid w:val="1F82E658"/>
    <w:rsid w:val="1FFEB38B"/>
    <w:rsid w:val="201C18C2"/>
    <w:rsid w:val="20362F1F"/>
    <w:rsid w:val="2041D445"/>
    <w:rsid w:val="2103D091"/>
    <w:rsid w:val="21060E4B"/>
    <w:rsid w:val="210AD168"/>
    <w:rsid w:val="210C125C"/>
    <w:rsid w:val="2142D8E6"/>
    <w:rsid w:val="21AA5717"/>
    <w:rsid w:val="21B2F501"/>
    <w:rsid w:val="21BF955E"/>
    <w:rsid w:val="21CA08FA"/>
    <w:rsid w:val="21E26F38"/>
    <w:rsid w:val="220A3167"/>
    <w:rsid w:val="22251C43"/>
    <w:rsid w:val="222E5BAB"/>
    <w:rsid w:val="22470ABE"/>
    <w:rsid w:val="22526841"/>
    <w:rsid w:val="228679D5"/>
    <w:rsid w:val="22A3F897"/>
    <w:rsid w:val="22BD40BC"/>
    <w:rsid w:val="22C9FB8B"/>
    <w:rsid w:val="22CDF4FD"/>
    <w:rsid w:val="22CE1B38"/>
    <w:rsid w:val="22D1B937"/>
    <w:rsid w:val="2310F1B0"/>
    <w:rsid w:val="23183BC8"/>
    <w:rsid w:val="23430B01"/>
    <w:rsid w:val="237796E7"/>
    <w:rsid w:val="23AE4128"/>
    <w:rsid w:val="23EE38A2"/>
    <w:rsid w:val="24109667"/>
    <w:rsid w:val="2433C1A5"/>
    <w:rsid w:val="243844A6"/>
    <w:rsid w:val="24BBB448"/>
    <w:rsid w:val="24EBC403"/>
    <w:rsid w:val="24FA490E"/>
    <w:rsid w:val="24FCFB3C"/>
    <w:rsid w:val="250243C4"/>
    <w:rsid w:val="2565E685"/>
    <w:rsid w:val="257AF0E3"/>
    <w:rsid w:val="2599DEAC"/>
    <w:rsid w:val="25B40EBE"/>
    <w:rsid w:val="25B5B83D"/>
    <w:rsid w:val="25BB20E8"/>
    <w:rsid w:val="25E72D0F"/>
    <w:rsid w:val="261E9226"/>
    <w:rsid w:val="262F073F"/>
    <w:rsid w:val="2646E9DB"/>
    <w:rsid w:val="27287143"/>
    <w:rsid w:val="27388094"/>
    <w:rsid w:val="2747E51A"/>
    <w:rsid w:val="274FDF1F"/>
    <w:rsid w:val="276D6249"/>
    <w:rsid w:val="278BBDFD"/>
    <w:rsid w:val="27AC6D3C"/>
    <w:rsid w:val="28016DAA"/>
    <w:rsid w:val="28063494"/>
    <w:rsid w:val="2814FCD7"/>
    <w:rsid w:val="281C2D35"/>
    <w:rsid w:val="28439F7B"/>
    <w:rsid w:val="28599E42"/>
    <w:rsid w:val="286AB949"/>
    <w:rsid w:val="2875BFE3"/>
    <w:rsid w:val="287C0F49"/>
    <w:rsid w:val="28A91CDB"/>
    <w:rsid w:val="28AD3FC3"/>
    <w:rsid w:val="28B1B514"/>
    <w:rsid w:val="28BEFD69"/>
    <w:rsid w:val="28ED58FF"/>
    <w:rsid w:val="291F22B5"/>
    <w:rsid w:val="2944C206"/>
    <w:rsid w:val="29495E70"/>
    <w:rsid w:val="2970F1C7"/>
    <w:rsid w:val="297E3AF6"/>
    <w:rsid w:val="2995B448"/>
    <w:rsid w:val="29C5DE41"/>
    <w:rsid w:val="29D8C002"/>
    <w:rsid w:val="2A0285EC"/>
    <w:rsid w:val="2A0357E4"/>
    <w:rsid w:val="2A05F1F3"/>
    <w:rsid w:val="2A2F4FE0"/>
    <w:rsid w:val="2A342C66"/>
    <w:rsid w:val="2AAE3D38"/>
    <w:rsid w:val="2AE903D7"/>
    <w:rsid w:val="2B1F13B4"/>
    <w:rsid w:val="2B1F9D2C"/>
    <w:rsid w:val="2B362362"/>
    <w:rsid w:val="2B525A67"/>
    <w:rsid w:val="2B5618A1"/>
    <w:rsid w:val="2B723B7C"/>
    <w:rsid w:val="2B749063"/>
    <w:rsid w:val="2B9983ED"/>
    <w:rsid w:val="2BD4D87D"/>
    <w:rsid w:val="2BD765DE"/>
    <w:rsid w:val="2C2C2274"/>
    <w:rsid w:val="2C70CFB2"/>
    <w:rsid w:val="2C775C7E"/>
    <w:rsid w:val="2C9D206C"/>
    <w:rsid w:val="2CA0AACD"/>
    <w:rsid w:val="2CAF23E3"/>
    <w:rsid w:val="2CEE7E3B"/>
    <w:rsid w:val="2D043EAB"/>
    <w:rsid w:val="2D131DBA"/>
    <w:rsid w:val="2D13E708"/>
    <w:rsid w:val="2D511413"/>
    <w:rsid w:val="2D51A645"/>
    <w:rsid w:val="2D57A2C2"/>
    <w:rsid w:val="2D9303EA"/>
    <w:rsid w:val="2D9BADF4"/>
    <w:rsid w:val="2DA7C218"/>
    <w:rsid w:val="2DCC9F89"/>
    <w:rsid w:val="2DF13A95"/>
    <w:rsid w:val="2E0FBC48"/>
    <w:rsid w:val="2E2B64C9"/>
    <w:rsid w:val="2E9FAF80"/>
    <w:rsid w:val="2F1D90F6"/>
    <w:rsid w:val="2F278E8D"/>
    <w:rsid w:val="2F86BAB3"/>
    <w:rsid w:val="2F871422"/>
    <w:rsid w:val="2FED6E9D"/>
    <w:rsid w:val="3009C92D"/>
    <w:rsid w:val="301BF768"/>
    <w:rsid w:val="302F5710"/>
    <w:rsid w:val="30409085"/>
    <w:rsid w:val="304B7E18"/>
    <w:rsid w:val="3050E9B7"/>
    <w:rsid w:val="30AAA24B"/>
    <w:rsid w:val="310174DA"/>
    <w:rsid w:val="3151A047"/>
    <w:rsid w:val="31948481"/>
    <w:rsid w:val="31C93207"/>
    <w:rsid w:val="31F03169"/>
    <w:rsid w:val="3228EFB4"/>
    <w:rsid w:val="32364103"/>
    <w:rsid w:val="32A70AE6"/>
    <w:rsid w:val="32CBE009"/>
    <w:rsid w:val="32EC3625"/>
    <w:rsid w:val="3315D390"/>
    <w:rsid w:val="3344EB83"/>
    <w:rsid w:val="334EE998"/>
    <w:rsid w:val="336DCE8C"/>
    <w:rsid w:val="336EBFF3"/>
    <w:rsid w:val="33BD86A3"/>
    <w:rsid w:val="33D9C55B"/>
    <w:rsid w:val="3415A040"/>
    <w:rsid w:val="3489F718"/>
    <w:rsid w:val="349AC1E0"/>
    <w:rsid w:val="349C8D5A"/>
    <w:rsid w:val="34B114EF"/>
    <w:rsid w:val="34B4F970"/>
    <w:rsid w:val="34F4EF76"/>
    <w:rsid w:val="34F57303"/>
    <w:rsid w:val="3502DB0C"/>
    <w:rsid w:val="35245ADA"/>
    <w:rsid w:val="3551CCEC"/>
    <w:rsid w:val="356264AE"/>
    <w:rsid w:val="35745FE3"/>
    <w:rsid w:val="357D518F"/>
    <w:rsid w:val="358F237E"/>
    <w:rsid w:val="359D8071"/>
    <w:rsid w:val="35F543F1"/>
    <w:rsid w:val="360A6B69"/>
    <w:rsid w:val="361A01F0"/>
    <w:rsid w:val="36299F95"/>
    <w:rsid w:val="364FCDB2"/>
    <w:rsid w:val="36599C46"/>
    <w:rsid w:val="367BC113"/>
    <w:rsid w:val="36AA1237"/>
    <w:rsid w:val="36F86D7C"/>
    <w:rsid w:val="3728A2DB"/>
    <w:rsid w:val="37324D07"/>
    <w:rsid w:val="373950D2"/>
    <w:rsid w:val="374C84E2"/>
    <w:rsid w:val="375612C6"/>
    <w:rsid w:val="37799B90"/>
    <w:rsid w:val="378A2622"/>
    <w:rsid w:val="37A6D578"/>
    <w:rsid w:val="37BA2B0A"/>
    <w:rsid w:val="37F16E4C"/>
    <w:rsid w:val="37FE8310"/>
    <w:rsid w:val="3858D5E2"/>
    <w:rsid w:val="38768A2B"/>
    <w:rsid w:val="38CF2474"/>
    <w:rsid w:val="390B5467"/>
    <w:rsid w:val="394A5CA2"/>
    <w:rsid w:val="396047D4"/>
    <w:rsid w:val="3967C27B"/>
    <w:rsid w:val="397FAC51"/>
    <w:rsid w:val="39C2CD4E"/>
    <w:rsid w:val="39DE175F"/>
    <w:rsid w:val="3A01743F"/>
    <w:rsid w:val="3A03F87B"/>
    <w:rsid w:val="3A7B8B76"/>
    <w:rsid w:val="3AA6A280"/>
    <w:rsid w:val="3AB04BF4"/>
    <w:rsid w:val="3ADF5A30"/>
    <w:rsid w:val="3AFEC450"/>
    <w:rsid w:val="3B04222B"/>
    <w:rsid w:val="3B107067"/>
    <w:rsid w:val="3B292D39"/>
    <w:rsid w:val="3B885745"/>
    <w:rsid w:val="3B92FA35"/>
    <w:rsid w:val="3B93BD08"/>
    <w:rsid w:val="3BADB547"/>
    <w:rsid w:val="3BE2EBA1"/>
    <w:rsid w:val="3C29CCCC"/>
    <w:rsid w:val="3C51286A"/>
    <w:rsid w:val="3C8391D1"/>
    <w:rsid w:val="3C8B7FA6"/>
    <w:rsid w:val="3C9452EE"/>
    <w:rsid w:val="3C9AC6AB"/>
    <w:rsid w:val="3CA279AB"/>
    <w:rsid w:val="3CCCCC0D"/>
    <w:rsid w:val="3CDAF0C7"/>
    <w:rsid w:val="3D11D284"/>
    <w:rsid w:val="3D15B821"/>
    <w:rsid w:val="3D391501"/>
    <w:rsid w:val="3D579A33"/>
    <w:rsid w:val="3D66FFFE"/>
    <w:rsid w:val="3D6AAA7D"/>
    <w:rsid w:val="3D7335D1"/>
    <w:rsid w:val="3DC59D2D"/>
    <w:rsid w:val="3DDD31F3"/>
    <w:rsid w:val="3DFD2D34"/>
    <w:rsid w:val="3E2AF2F5"/>
    <w:rsid w:val="3E30B71A"/>
    <w:rsid w:val="3E78EA75"/>
    <w:rsid w:val="3EAA3C3C"/>
    <w:rsid w:val="3EAD2C13"/>
    <w:rsid w:val="3EAF2517"/>
    <w:rsid w:val="3EB29BCF"/>
    <w:rsid w:val="3EC5AA52"/>
    <w:rsid w:val="3EE35238"/>
    <w:rsid w:val="3F088725"/>
    <w:rsid w:val="3F1FA4C5"/>
    <w:rsid w:val="3F741AF5"/>
    <w:rsid w:val="3F790254"/>
    <w:rsid w:val="3FC1DAA8"/>
    <w:rsid w:val="3FCAB92D"/>
    <w:rsid w:val="401815D6"/>
    <w:rsid w:val="403AD206"/>
    <w:rsid w:val="405FE33A"/>
    <w:rsid w:val="406DCB1C"/>
    <w:rsid w:val="40861E5D"/>
    <w:rsid w:val="4092EA83"/>
    <w:rsid w:val="4093DC7E"/>
    <w:rsid w:val="409E4D4D"/>
    <w:rsid w:val="40E12892"/>
    <w:rsid w:val="40E1AE15"/>
    <w:rsid w:val="4109219B"/>
    <w:rsid w:val="4161C8B0"/>
    <w:rsid w:val="416357C8"/>
    <w:rsid w:val="416F8133"/>
    <w:rsid w:val="417195D9"/>
    <w:rsid w:val="41B1FFCD"/>
    <w:rsid w:val="41CE4A60"/>
    <w:rsid w:val="41EBF075"/>
    <w:rsid w:val="42AD76E9"/>
    <w:rsid w:val="438D6F95"/>
    <w:rsid w:val="43EEA217"/>
    <w:rsid w:val="4450313B"/>
    <w:rsid w:val="44586CC8"/>
    <w:rsid w:val="445A6251"/>
    <w:rsid w:val="445B9888"/>
    <w:rsid w:val="446DE68B"/>
    <w:rsid w:val="448D0F49"/>
    <w:rsid w:val="44C6634C"/>
    <w:rsid w:val="44E9A08F"/>
    <w:rsid w:val="453983F9"/>
    <w:rsid w:val="4544EC39"/>
    <w:rsid w:val="454B6078"/>
    <w:rsid w:val="455579E1"/>
    <w:rsid w:val="45651E46"/>
    <w:rsid w:val="45D607C1"/>
    <w:rsid w:val="45E248AD"/>
    <w:rsid w:val="4614AD4C"/>
    <w:rsid w:val="466ED1CE"/>
    <w:rsid w:val="467124BE"/>
    <w:rsid w:val="4692E3FC"/>
    <w:rsid w:val="46980612"/>
    <w:rsid w:val="46A074A5"/>
    <w:rsid w:val="4731DF14"/>
    <w:rsid w:val="47375CC7"/>
    <w:rsid w:val="47638AFD"/>
    <w:rsid w:val="47920313"/>
    <w:rsid w:val="47AB87AE"/>
    <w:rsid w:val="48209DB4"/>
    <w:rsid w:val="48485A55"/>
    <w:rsid w:val="4858F709"/>
    <w:rsid w:val="487F2BF6"/>
    <w:rsid w:val="488AC186"/>
    <w:rsid w:val="48C87FE1"/>
    <w:rsid w:val="48C98E05"/>
    <w:rsid w:val="4900FD13"/>
    <w:rsid w:val="4910A0A9"/>
    <w:rsid w:val="49392227"/>
    <w:rsid w:val="498A3A1A"/>
    <w:rsid w:val="49A3E955"/>
    <w:rsid w:val="49ABA925"/>
    <w:rsid w:val="49C47435"/>
    <w:rsid w:val="49C78D4A"/>
    <w:rsid w:val="49E8CF31"/>
    <w:rsid w:val="49F6EBD7"/>
    <w:rsid w:val="4A0B8AA0"/>
    <w:rsid w:val="4A24B2FD"/>
    <w:rsid w:val="4A3CCF5D"/>
    <w:rsid w:val="4AA42035"/>
    <w:rsid w:val="4AFE8FF2"/>
    <w:rsid w:val="4B0E3D4B"/>
    <w:rsid w:val="4B32AB50"/>
    <w:rsid w:val="4B47AB2B"/>
    <w:rsid w:val="4B77D1A9"/>
    <w:rsid w:val="4B8974FC"/>
    <w:rsid w:val="4BA48DE2"/>
    <w:rsid w:val="4BBC1045"/>
    <w:rsid w:val="4BC5FFD3"/>
    <w:rsid w:val="4C41D655"/>
    <w:rsid w:val="4C98212E"/>
    <w:rsid w:val="4CB129BB"/>
    <w:rsid w:val="4CB54B2B"/>
    <w:rsid w:val="4CC1DADC"/>
    <w:rsid w:val="4CD67A4A"/>
    <w:rsid w:val="4CF81B1E"/>
    <w:rsid w:val="4CFA39CA"/>
    <w:rsid w:val="4D2EA310"/>
    <w:rsid w:val="4D85114E"/>
    <w:rsid w:val="4DA12098"/>
    <w:rsid w:val="4DA41706"/>
    <w:rsid w:val="4DC23EA4"/>
    <w:rsid w:val="4DC6A3A6"/>
    <w:rsid w:val="4DD7B6F8"/>
    <w:rsid w:val="4DD9CD15"/>
    <w:rsid w:val="4DF3EFA4"/>
    <w:rsid w:val="4E0BE7C1"/>
    <w:rsid w:val="4E1FBF31"/>
    <w:rsid w:val="4E2E399C"/>
    <w:rsid w:val="4E33F18F"/>
    <w:rsid w:val="4E3AD39D"/>
    <w:rsid w:val="4E3ADB80"/>
    <w:rsid w:val="4E7940E2"/>
    <w:rsid w:val="4E81E24C"/>
    <w:rsid w:val="4EAC84C6"/>
    <w:rsid w:val="4EE96F1A"/>
    <w:rsid w:val="4F0B5559"/>
    <w:rsid w:val="4F29DEA7"/>
    <w:rsid w:val="4FA9F18C"/>
    <w:rsid w:val="4FD68A0F"/>
    <w:rsid w:val="4FECEBED"/>
    <w:rsid w:val="504CB28C"/>
    <w:rsid w:val="506B6A33"/>
    <w:rsid w:val="50BCB210"/>
    <w:rsid w:val="50C29624"/>
    <w:rsid w:val="50EE5B73"/>
    <w:rsid w:val="50FB0E9A"/>
    <w:rsid w:val="5110DB68"/>
    <w:rsid w:val="513C181A"/>
    <w:rsid w:val="51BF2D3D"/>
    <w:rsid w:val="51EE94C5"/>
    <w:rsid w:val="521B21FA"/>
    <w:rsid w:val="525ED9CA"/>
    <w:rsid w:val="5277A253"/>
    <w:rsid w:val="5287CD20"/>
    <w:rsid w:val="52D448AA"/>
    <w:rsid w:val="52D7E87B"/>
    <w:rsid w:val="52E234A9"/>
    <w:rsid w:val="52E2D6D4"/>
    <w:rsid w:val="52E954B0"/>
    <w:rsid w:val="531BC9B6"/>
    <w:rsid w:val="5360D02E"/>
    <w:rsid w:val="536A9D1F"/>
    <w:rsid w:val="53867B48"/>
    <w:rsid w:val="53F452D2"/>
    <w:rsid w:val="5454AA24"/>
    <w:rsid w:val="5473B8DC"/>
    <w:rsid w:val="54794518"/>
    <w:rsid w:val="548E71F8"/>
    <w:rsid w:val="548F6CA3"/>
    <w:rsid w:val="549E7102"/>
    <w:rsid w:val="54C089C3"/>
    <w:rsid w:val="54EDF07D"/>
    <w:rsid w:val="554E2198"/>
    <w:rsid w:val="555EA256"/>
    <w:rsid w:val="5570243C"/>
    <w:rsid w:val="559457A7"/>
    <w:rsid w:val="55B87EC3"/>
    <w:rsid w:val="55E072B0"/>
    <w:rsid w:val="560F893D"/>
    <w:rsid w:val="5611A8B9"/>
    <w:rsid w:val="562AB0C3"/>
    <w:rsid w:val="56427A71"/>
    <w:rsid w:val="566779D4"/>
    <w:rsid w:val="56838C75"/>
    <w:rsid w:val="568CFED3"/>
    <w:rsid w:val="56C67C3E"/>
    <w:rsid w:val="56F68562"/>
    <w:rsid w:val="5712101F"/>
    <w:rsid w:val="5727874B"/>
    <w:rsid w:val="5758E5C7"/>
    <w:rsid w:val="575923E7"/>
    <w:rsid w:val="578524A1"/>
    <w:rsid w:val="5798258E"/>
    <w:rsid w:val="57D2E96C"/>
    <w:rsid w:val="57EFD654"/>
    <w:rsid w:val="57F3DC62"/>
    <w:rsid w:val="580AD564"/>
    <w:rsid w:val="58802312"/>
    <w:rsid w:val="58BC7F39"/>
    <w:rsid w:val="58C357AC"/>
    <w:rsid w:val="58DE38B7"/>
    <w:rsid w:val="58F992D2"/>
    <w:rsid w:val="5911FFB1"/>
    <w:rsid w:val="5918221E"/>
    <w:rsid w:val="5945E1CD"/>
    <w:rsid w:val="594729FF"/>
    <w:rsid w:val="59492928"/>
    <w:rsid w:val="597CB1DB"/>
    <w:rsid w:val="59964BDF"/>
    <w:rsid w:val="59BD4F7F"/>
    <w:rsid w:val="59BE5CC2"/>
    <w:rsid w:val="59FA7D77"/>
    <w:rsid w:val="5A75C71E"/>
    <w:rsid w:val="5A76237E"/>
    <w:rsid w:val="5A7821E0"/>
    <w:rsid w:val="5A794C29"/>
    <w:rsid w:val="5A8AB9AB"/>
    <w:rsid w:val="5AA69A35"/>
    <w:rsid w:val="5ACB0D90"/>
    <w:rsid w:val="5AE519DC"/>
    <w:rsid w:val="5AFDB37C"/>
    <w:rsid w:val="5B238F9E"/>
    <w:rsid w:val="5B826DA0"/>
    <w:rsid w:val="5B888B6B"/>
    <w:rsid w:val="5BEA3F45"/>
    <w:rsid w:val="5BFD7681"/>
    <w:rsid w:val="5C09367F"/>
    <w:rsid w:val="5C7E7B59"/>
    <w:rsid w:val="5C85C781"/>
    <w:rsid w:val="5C88C820"/>
    <w:rsid w:val="5C9983DD"/>
    <w:rsid w:val="5CCC4589"/>
    <w:rsid w:val="5CEC8D01"/>
    <w:rsid w:val="5D0F763A"/>
    <w:rsid w:val="5D20CD99"/>
    <w:rsid w:val="5D2F1B5F"/>
    <w:rsid w:val="5D3FC194"/>
    <w:rsid w:val="5D84028A"/>
    <w:rsid w:val="5D96C8CF"/>
    <w:rsid w:val="5DCED1B2"/>
    <w:rsid w:val="5DE04FF4"/>
    <w:rsid w:val="5E3C7DEF"/>
    <w:rsid w:val="5E8E5A2B"/>
    <w:rsid w:val="5EA896EE"/>
    <w:rsid w:val="5EB8978A"/>
    <w:rsid w:val="5EE66A87"/>
    <w:rsid w:val="5F4E699D"/>
    <w:rsid w:val="5F6F7CF4"/>
    <w:rsid w:val="5F8FC05F"/>
    <w:rsid w:val="5FB038B2"/>
    <w:rsid w:val="5FBB2648"/>
    <w:rsid w:val="5FD1249F"/>
    <w:rsid w:val="5FF46309"/>
    <w:rsid w:val="603C5037"/>
    <w:rsid w:val="605D4DDD"/>
    <w:rsid w:val="60807793"/>
    <w:rsid w:val="60818DFD"/>
    <w:rsid w:val="608721A3"/>
    <w:rsid w:val="60A66916"/>
    <w:rsid w:val="60AF1698"/>
    <w:rsid w:val="60BA4148"/>
    <w:rsid w:val="60C08050"/>
    <w:rsid w:val="60CA42F3"/>
    <w:rsid w:val="610E7E9D"/>
    <w:rsid w:val="6118A83C"/>
    <w:rsid w:val="616B8A84"/>
    <w:rsid w:val="6170A016"/>
    <w:rsid w:val="61713B7B"/>
    <w:rsid w:val="619E9EE1"/>
    <w:rsid w:val="61EB2DF7"/>
    <w:rsid w:val="61F96319"/>
    <w:rsid w:val="621D5E5E"/>
    <w:rsid w:val="62557DDE"/>
    <w:rsid w:val="626B5AE0"/>
    <w:rsid w:val="62A1A004"/>
    <w:rsid w:val="62ABC234"/>
    <w:rsid w:val="62EF1B25"/>
    <w:rsid w:val="6368394E"/>
    <w:rsid w:val="6390A934"/>
    <w:rsid w:val="63B92EBF"/>
    <w:rsid w:val="63EE766F"/>
    <w:rsid w:val="640A2FCB"/>
    <w:rsid w:val="64779A1D"/>
    <w:rsid w:val="649D4AF8"/>
    <w:rsid w:val="64A32B46"/>
    <w:rsid w:val="64A495C2"/>
    <w:rsid w:val="64C53435"/>
    <w:rsid w:val="650E6AD4"/>
    <w:rsid w:val="652A8B80"/>
    <w:rsid w:val="65867B4C"/>
    <w:rsid w:val="659ADB64"/>
    <w:rsid w:val="65B5CDBD"/>
    <w:rsid w:val="65D8F0CB"/>
    <w:rsid w:val="65EAB4C5"/>
    <w:rsid w:val="65EB61D9"/>
    <w:rsid w:val="65F082B9"/>
    <w:rsid w:val="660F3A8F"/>
    <w:rsid w:val="66156152"/>
    <w:rsid w:val="663EFBA7"/>
    <w:rsid w:val="666EE6E7"/>
    <w:rsid w:val="6683B76D"/>
    <w:rsid w:val="668A390E"/>
    <w:rsid w:val="669FDA10"/>
    <w:rsid w:val="66CE0F12"/>
    <w:rsid w:val="66D2869D"/>
    <w:rsid w:val="6748CA61"/>
    <w:rsid w:val="67DACC08"/>
    <w:rsid w:val="67FD33CD"/>
    <w:rsid w:val="6815D6F8"/>
    <w:rsid w:val="681B6DD4"/>
    <w:rsid w:val="683B5BF7"/>
    <w:rsid w:val="684E0057"/>
    <w:rsid w:val="685E444C"/>
    <w:rsid w:val="687CF537"/>
    <w:rsid w:val="688C3178"/>
    <w:rsid w:val="68C4BF62"/>
    <w:rsid w:val="68ECC67B"/>
    <w:rsid w:val="692C5167"/>
    <w:rsid w:val="693AB89D"/>
    <w:rsid w:val="696264CC"/>
    <w:rsid w:val="69760D48"/>
    <w:rsid w:val="698F5CB5"/>
    <w:rsid w:val="6A0876D1"/>
    <w:rsid w:val="6A0E07C1"/>
    <w:rsid w:val="6A3D136E"/>
    <w:rsid w:val="6A70C62F"/>
    <w:rsid w:val="6A8A74BB"/>
    <w:rsid w:val="6AA0E893"/>
    <w:rsid w:val="6AC75A4F"/>
    <w:rsid w:val="6AD6C754"/>
    <w:rsid w:val="6B2C2218"/>
    <w:rsid w:val="6B5D4FAE"/>
    <w:rsid w:val="6B6C0EBA"/>
    <w:rsid w:val="6B706200"/>
    <w:rsid w:val="6B75C3B6"/>
    <w:rsid w:val="6B975895"/>
    <w:rsid w:val="6BAC1D59"/>
    <w:rsid w:val="6BD5D83C"/>
    <w:rsid w:val="6BFC87F3"/>
    <w:rsid w:val="6C09FB16"/>
    <w:rsid w:val="6C1149B3"/>
    <w:rsid w:val="6C1F91CD"/>
    <w:rsid w:val="6C377C2D"/>
    <w:rsid w:val="6C5AFD53"/>
    <w:rsid w:val="6C72595F"/>
    <w:rsid w:val="6CE32F7A"/>
    <w:rsid w:val="6D07DF1B"/>
    <w:rsid w:val="6D0C3261"/>
    <w:rsid w:val="6D307BE7"/>
    <w:rsid w:val="6D7959BE"/>
    <w:rsid w:val="6DA5CB77"/>
    <w:rsid w:val="6E144DDB"/>
    <w:rsid w:val="6E1A667A"/>
    <w:rsid w:val="6E25A81F"/>
    <w:rsid w:val="6E5850BD"/>
    <w:rsid w:val="6E7EFFDB"/>
    <w:rsid w:val="6E80D36F"/>
    <w:rsid w:val="6ECBEEE8"/>
    <w:rsid w:val="6ECEF957"/>
    <w:rsid w:val="6EE6A90E"/>
    <w:rsid w:val="6F0780C6"/>
    <w:rsid w:val="6F342D49"/>
    <w:rsid w:val="6F63AAD2"/>
    <w:rsid w:val="6F6C7AED"/>
    <w:rsid w:val="6F984F4A"/>
    <w:rsid w:val="6FA65A0B"/>
    <w:rsid w:val="6FB475D0"/>
    <w:rsid w:val="6FC86ED1"/>
    <w:rsid w:val="6FC874EF"/>
    <w:rsid w:val="6FD74797"/>
    <w:rsid w:val="700E7768"/>
    <w:rsid w:val="704AA7C8"/>
    <w:rsid w:val="706AC9B8"/>
    <w:rsid w:val="707F24EA"/>
    <w:rsid w:val="70866108"/>
    <w:rsid w:val="70897174"/>
    <w:rsid w:val="70ACB61F"/>
    <w:rsid w:val="70DE91A0"/>
    <w:rsid w:val="70E2CF1C"/>
    <w:rsid w:val="70F32C3F"/>
    <w:rsid w:val="718AEDB6"/>
    <w:rsid w:val="71D85D86"/>
    <w:rsid w:val="71D9419A"/>
    <w:rsid w:val="71DB503E"/>
    <w:rsid w:val="71E9D0B4"/>
    <w:rsid w:val="71F420BB"/>
    <w:rsid w:val="7229D1E7"/>
    <w:rsid w:val="7263C322"/>
    <w:rsid w:val="72D3A5BD"/>
    <w:rsid w:val="72F3BCA9"/>
    <w:rsid w:val="73025001"/>
    <w:rsid w:val="73123648"/>
    <w:rsid w:val="733ED929"/>
    <w:rsid w:val="734CB2D3"/>
    <w:rsid w:val="735735D7"/>
    <w:rsid w:val="739B28C2"/>
    <w:rsid w:val="743259B4"/>
    <w:rsid w:val="74373E47"/>
    <w:rsid w:val="746F761E"/>
    <w:rsid w:val="74C3E3AF"/>
    <w:rsid w:val="7502E1D6"/>
    <w:rsid w:val="750C59A8"/>
    <w:rsid w:val="755082B0"/>
    <w:rsid w:val="75712E37"/>
    <w:rsid w:val="758BB1C9"/>
    <w:rsid w:val="758FF1C7"/>
    <w:rsid w:val="75CB4B6B"/>
    <w:rsid w:val="75CD3F55"/>
    <w:rsid w:val="75F348BA"/>
    <w:rsid w:val="7640E7D4"/>
    <w:rsid w:val="764A86F5"/>
    <w:rsid w:val="7652538D"/>
    <w:rsid w:val="766B2B38"/>
    <w:rsid w:val="76757E5E"/>
    <w:rsid w:val="76E89543"/>
    <w:rsid w:val="76F71094"/>
    <w:rsid w:val="77207869"/>
    <w:rsid w:val="772DD7F4"/>
    <w:rsid w:val="774CD071"/>
    <w:rsid w:val="775479FE"/>
    <w:rsid w:val="775EEE2B"/>
    <w:rsid w:val="7771C362"/>
    <w:rsid w:val="777409A5"/>
    <w:rsid w:val="77C72DCC"/>
    <w:rsid w:val="77E18DE1"/>
    <w:rsid w:val="77EA9FA6"/>
    <w:rsid w:val="77EB15C6"/>
    <w:rsid w:val="78052D05"/>
    <w:rsid w:val="78208034"/>
    <w:rsid w:val="783EF3EA"/>
    <w:rsid w:val="7841CFC9"/>
    <w:rsid w:val="78462764"/>
    <w:rsid w:val="784FAB85"/>
    <w:rsid w:val="7856D28E"/>
    <w:rsid w:val="7856DC5F"/>
    <w:rsid w:val="78AA0A48"/>
    <w:rsid w:val="78C98441"/>
    <w:rsid w:val="78E3EB92"/>
    <w:rsid w:val="78F96DFA"/>
    <w:rsid w:val="78FA34D6"/>
    <w:rsid w:val="794B7422"/>
    <w:rsid w:val="794F02AC"/>
    <w:rsid w:val="79782B59"/>
    <w:rsid w:val="7998036C"/>
    <w:rsid w:val="79B6D09F"/>
    <w:rsid w:val="79C1B282"/>
    <w:rsid w:val="79F2A2EF"/>
    <w:rsid w:val="7A049FC2"/>
    <w:rsid w:val="7A13C0FB"/>
    <w:rsid w:val="7A1950A1"/>
    <w:rsid w:val="7A1A7C08"/>
    <w:rsid w:val="7A7BF409"/>
    <w:rsid w:val="7A7C1099"/>
    <w:rsid w:val="7A7EA113"/>
    <w:rsid w:val="7A9B4290"/>
    <w:rsid w:val="7AB89015"/>
    <w:rsid w:val="7ACAC339"/>
    <w:rsid w:val="7ACE80BA"/>
    <w:rsid w:val="7B182563"/>
    <w:rsid w:val="7B2F7FBE"/>
    <w:rsid w:val="7B31D78F"/>
    <w:rsid w:val="7B3477CF"/>
    <w:rsid w:val="7B37195E"/>
    <w:rsid w:val="7B6B97BF"/>
    <w:rsid w:val="7B712983"/>
    <w:rsid w:val="7B85873B"/>
    <w:rsid w:val="7B9ACE01"/>
    <w:rsid w:val="7BB4B23C"/>
    <w:rsid w:val="7BB901DF"/>
    <w:rsid w:val="7BE8F32C"/>
    <w:rsid w:val="7BEE93FF"/>
    <w:rsid w:val="7C06BB24"/>
    <w:rsid w:val="7C1A7174"/>
    <w:rsid w:val="7C2378E9"/>
    <w:rsid w:val="7C405A1C"/>
    <w:rsid w:val="7C43ED6E"/>
    <w:rsid w:val="7C48FFCA"/>
    <w:rsid w:val="7C5DD9E4"/>
    <w:rsid w:val="7C99C3B0"/>
    <w:rsid w:val="7CD2B113"/>
    <w:rsid w:val="7D2A43B1"/>
    <w:rsid w:val="7D3270E8"/>
    <w:rsid w:val="7D50829D"/>
    <w:rsid w:val="7D6BC11A"/>
    <w:rsid w:val="7D7F9F22"/>
    <w:rsid w:val="7D873EA5"/>
    <w:rsid w:val="7D89FAA0"/>
    <w:rsid w:val="7DAC4338"/>
    <w:rsid w:val="7DE93B9E"/>
    <w:rsid w:val="7DF196A7"/>
    <w:rsid w:val="7E350D8F"/>
    <w:rsid w:val="7E47D66C"/>
    <w:rsid w:val="7EA58A4E"/>
    <w:rsid w:val="7EA6DAD0"/>
    <w:rsid w:val="7EC61412"/>
    <w:rsid w:val="7ED51B1F"/>
    <w:rsid w:val="7ED79F6C"/>
    <w:rsid w:val="7F0854EF"/>
    <w:rsid w:val="7F4DA5ED"/>
    <w:rsid w:val="7F8A0889"/>
    <w:rsid w:val="7F946DDC"/>
    <w:rsid w:val="7FB5DDBE"/>
    <w:rsid w:val="7FC80B71"/>
    <w:rsid w:val="7FD377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F86F"/>
  <w15:docId w15:val="{F8A850D4-C813-47A6-8514-4D4DAE30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0FF"/>
    <w:pPr>
      <w:spacing w:before="120" w:after="120"/>
    </w:pPr>
    <w:rPr>
      <w:rFonts w:ascii="Arial" w:hAnsi="Arial"/>
      <w:sz w:val="22"/>
      <w:szCs w:val="24"/>
      <w:lang w:eastAsia="en-US"/>
    </w:rPr>
  </w:style>
  <w:style w:type="paragraph" w:styleId="Heading1">
    <w:name w:val="heading 1"/>
    <w:basedOn w:val="Heading2"/>
    <w:next w:val="Normal"/>
    <w:qFormat/>
    <w:rsid w:val="00E871CC"/>
    <w:pPr>
      <w:numPr>
        <w:ilvl w:val="0"/>
      </w:numPr>
      <w:spacing w:before="120" w:after="360"/>
      <w:outlineLvl w:val="0"/>
    </w:pPr>
    <w:rPr>
      <w:b/>
      <w:sz w:val="32"/>
    </w:rPr>
  </w:style>
  <w:style w:type="paragraph" w:styleId="Heading2">
    <w:name w:val="heading 2"/>
    <w:basedOn w:val="Normal"/>
    <w:next w:val="Normal"/>
    <w:link w:val="Heading2Char"/>
    <w:qFormat/>
    <w:rsid w:val="00700281"/>
    <w:pPr>
      <w:keepNext/>
      <w:numPr>
        <w:ilvl w:val="1"/>
        <w:numId w:val="3"/>
      </w:numPr>
      <w:spacing w:before="0" w:after="240"/>
      <w:outlineLvl w:val="1"/>
    </w:pPr>
    <w:rPr>
      <w:rFonts w:cs="Arial"/>
      <w:bCs/>
      <w:iCs/>
      <w:color w:val="000000" w:themeColor="text1"/>
      <w:szCs w:val="28"/>
    </w:rPr>
  </w:style>
  <w:style w:type="paragraph" w:styleId="Heading3">
    <w:name w:val="heading 3"/>
    <w:basedOn w:val="Heading2"/>
    <w:next w:val="Normal"/>
    <w:link w:val="Heading3Char"/>
    <w:qFormat/>
    <w:rsid w:val="0048151B"/>
    <w:pPr>
      <w:numPr>
        <w:ilvl w:val="2"/>
      </w:numPr>
      <w:outlineLvl w:val="2"/>
    </w:pPr>
  </w:style>
  <w:style w:type="paragraph" w:styleId="Heading4">
    <w:name w:val="heading 4"/>
    <w:basedOn w:val="Heading2"/>
    <w:next w:val="Normal"/>
    <w:qFormat/>
    <w:rsid w:val="009C7E6D"/>
    <w:pPr>
      <w:numPr>
        <w:ilvl w:val="3"/>
      </w:numPr>
      <w:spacing w:after="120"/>
      <w:outlineLvl w:val="3"/>
    </w:pPr>
    <w:rPr>
      <w:color w:val="000000"/>
    </w:rPr>
  </w:style>
  <w:style w:type="paragraph" w:styleId="Heading5">
    <w:name w:val="heading 5"/>
    <w:basedOn w:val="Normal"/>
    <w:next w:val="Normal"/>
    <w:link w:val="Heading5Char"/>
    <w:qFormat/>
    <w:rsid w:val="00165A73"/>
    <w:pPr>
      <w:numPr>
        <w:ilvl w:val="4"/>
        <w:numId w:val="3"/>
      </w:numPr>
      <w:spacing w:before="60" w:after="60"/>
      <w:jc w:val="right"/>
      <w:outlineLvl w:val="4"/>
    </w:pPr>
    <w:rPr>
      <w:b/>
      <w:bCs/>
      <w:iCs/>
      <w:sz w:val="24"/>
      <w:szCs w:val="26"/>
    </w:rPr>
  </w:style>
  <w:style w:type="paragraph" w:styleId="Heading6">
    <w:name w:val="heading 6"/>
    <w:basedOn w:val="Normal"/>
    <w:next w:val="Normal"/>
    <w:link w:val="Heading6Char"/>
    <w:semiHidden/>
    <w:unhideWhenUsed/>
    <w:qFormat/>
    <w:rsid w:val="00612649"/>
    <w:pPr>
      <w:keepNext/>
      <w:keepLines/>
      <w:numPr>
        <w:ilvl w:val="5"/>
        <w:numId w:val="3"/>
      </w:numPr>
      <w:spacing w:before="40"/>
      <w:ind w:left="4320" w:hanging="18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649"/>
    <w:pPr>
      <w:keepNext/>
      <w:keepLines/>
      <w:numPr>
        <w:ilvl w:val="6"/>
        <w:numId w:val="3"/>
      </w:numPr>
      <w:spacing w:before="40"/>
      <w:ind w:left="504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649"/>
    <w:pPr>
      <w:keepNext/>
      <w:keepLines/>
      <w:numPr>
        <w:ilvl w:val="7"/>
        <w:numId w:val="3"/>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649"/>
    <w:pPr>
      <w:keepNext/>
      <w:keepLines/>
      <w:numPr>
        <w:ilvl w:val="8"/>
        <w:numId w:val="3"/>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BB6896"/>
    <w:pPr>
      <w:spacing w:line="280" w:lineRule="atLeast"/>
      <w:jc w:val="center"/>
    </w:pPr>
    <w:rPr>
      <w:b/>
      <w:bCs/>
      <w:color w:val="FFFFFF" w:themeColor="background1"/>
      <w:sz w:val="56"/>
      <w:szCs w:val="20"/>
    </w:rPr>
  </w:style>
  <w:style w:type="paragraph" w:styleId="Footer">
    <w:name w:val="footer"/>
    <w:basedOn w:val="Normal"/>
    <w:link w:val="FooterChar"/>
    <w:uiPriority w:val="99"/>
    <w:rsid w:val="00EA10CD"/>
    <w:pPr>
      <w:tabs>
        <w:tab w:val="left" w:pos="0"/>
        <w:tab w:val="center" w:pos="4153"/>
        <w:tab w:val="right" w:pos="8306"/>
      </w:tabs>
    </w:pPr>
    <w:rPr>
      <w:sz w:val="16"/>
    </w:rPr>
  </w:style>
  <w:style w:type="table" w:styleId="TableGrid">
    <w:name w:val="Table Grid"/>
    <w:basedOn w:val="TableNormal"/>
    <w:uiPriority w:val="39"/>
    <w:rsid w:val="009137E6"/>
    <w:rPr>
      <w:rFonts w:ascii="Arial" w:hAnsi="Arial"/>
      <w:sz w:val="22"/>
    </w:rPr>
    <w:tblPr>
      <w:tblCellMar>
        <w:left w:w="115" w:type="dxa"/>
        <w:right w:w="115" w:type="dxa"/>
      </w:tblCellMar>
    </w:tblPr>
  </w:style>
  <w:style w:type="character" w:styleId="PageNumber">
    <w:name w:val="page number"/>
    <w:basedOn w:val="DefaultParagraphFont"/>
    <w:rsid w:val="000C28CC"/>
  </w:style>
  <w:style w:type="paragraph" w:customStyle="1" w:styleId="Action">
    <w:name w:val="Action"/>
    <w:basedOn w:val="Normal"/>
    <w:rsid w:val="006B6B00"/>
    <w:rPr>
      <w:b/>
    </w:rPr>
  </w:style>
  <w:style w:type="paragraph" w:customStyle="1" w:styleId="PROTECTIVEMARKING">
    <w:name w:val="PROTECTIVE MARKING"/>
    <w:basedOn w:val="Normal"/>
    <w:rsid w:val="00CC20FF"/>
    <w:pPr>
      <w:tabs>
        <w:tab w:val="center" w:pos="4153"/>
        <w:tab w:val="right" w:pos="8306"/>
      </w:tabs>
      <w:jc w:val="center"/>
    </w:pPr>
    <w:rPr>
      <w:b/>
      <w:caps/>
      <w:sz w:val="16"/>
    </w:rPr>
  </w:style>
  <w:style w:type="table" w:styleId="GridTable4-Accent3">
    <w:name w:val="Grid Table 4 Accent 3"/>
    <w:basedOn w:val="TableNormal"/>
    <w:uiPriority w:val="49"/>
    <w:rsid w:val="00367E00"/>
    <w:tblPr>
      <w:tblStyleRowBandSize w:val="1"/>
      <w:tblStyleColBandSize w:val="1"/>
      <w:tblBorders>
        <w:top w:val="single" w:sz="4" w:space="0" w:color="99CCCC"/>
        <w:left w:val="single" w:sz="4" w:space="0" w:color="99CCCC"/>
        <w:bottom w:val="single" w:sz="4" w:space="0" w:color="99CCCC"/>
        <w:right w:val="single" w:sz="4" w:space="0" w:color="99CCCC"/>
        <w:insideH w:val="single" w:sz="4" w:space="0" w:color="99CCCC"/>
        <w:insideV w:val="single" w:sz="4" w:space="0" w:color="99CCCC"/>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NWSTABLE">
    <w:name w:val="NWS TABLE"/>
    <w:basedOn w:val="TableNormal"/>
    <w:uiPriority w:val="99"/>
    <w:rsid w:val="005F3399"/>
    <w:tblPr/>
  </w:style>
  <w:style w:type="table" w:styleId="MediumGrid1-Accent4">
    <w:name w:val="Medium Grid 1 Accent 4"/>
    <w:basedOn w:val="TableNormal"/>
    <w:uiPriority w:val="67"/>
    <w:rsid w:val="007E6A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B47A6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B47A6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aliases w:val="Numbered List 1,Numbered Para 1,Dot pt,No Spacing1,List Paragraph Char Char Char,Indicator Text,List Paragraph1,Bullet 1,Bullet Points,MAIN CONTENT,List Paragraph12,F5 List Paragraph,Colorful List - Accent 11,Normal numbered,OBC Bullet,L"/>
    <w:basedOn w:val="Normal"/>
    <w:link w:val="ListParagraphChar"/>
    <w:uiPriority w:val="34"/>
    <w:qFormat/>
    <w:rsid w:val="00B47A66"/>
    <w:pPr>
      <w:ind w:left="720"/>
      <w:contextualSpacing/>
    </w:pPr>
  </w:style>
  <w:style w:type="character" w:styleId="IntenseEmphasis">
    <w:name w:val="Intense Emphasis"/>
    <w:basedOn w:val="DefaultParagraphFont"/>
    <w:uiPriority w:val="21"/>
    <w:qFormat/>
    <w:rsid w:val="006A343B"/>
    <w:rPr>
      <w:b/>
      <w:bCs/>
      <w:i/>
      <w:iCs/>
      <w:color w:val="4F81BD" w:themeColor="accent1"/>
    </w:rPr>
  </w:style>
  <w:style w:type="table" w:styleId="MediumShading1-Accent4">
    <w:name w:val="Medium Shading 1 Accent 4"/>
    <w:basedOn w:val="TableNormal"/>
    <w:uiPriority w:val="63"/>
    <w:rsid w:val="00AF580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AA13B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3-Accent4">
    <w:name w:val="Medium Grid 3 Accent 4"/>
    <w:basedOn w:val="TableNormal"/>
    <w:uiPriority w:val="69"/>
    <w:rsid w:val="00AA13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SubtleEmphasis">
    <w:name w:val="Subtle Emphasis"/>
    <w:basedOn w:val="DefaultParagraphFont"/>
    <w:uiPriority w:val="19"/>
    <w:qFormat/>
    <w:rsid w:val="00AA13BD"/>
    <w:rPr>
      <w:i/>
      <w:iCs/>
      <w:color w:val="808080" w:themeColor="text1" w:themeTint="7F"/>
    </w:rPr>
  </w:style>
  <w:style w:type="character" w:styleId="Hyperlink">
    <w:name w:val="Hyperlink"/>
    <w:basedOn w:val="DefaultParagraphFont"/>
    <w:uiPriority w:val="99"/>
    <w:rsid w:val="00BA46CE"/>
    <w:rPr>
      <w:color w:val="0000FF" w:themeColor="hyperlink"/>
      <w:u w:val="single"/>
    </w:rPr>
  </w:style>
  <w:style w:type="table" w:styleId="ListTable1Light">
    <w:name w:val="List Table 1 Light"/>
    <w:basedOn w:val="TableNormal"/>
    <w:uiPriority w:val="46"/>
    <w:rsid w:val="00D277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Grid1">
    <w:name w:val="Medium Grid 1"/>
    <w:basedOn w:val="TableNormal"/>
    <w:uiPriority w:val="67"/>
    <w:rsid w:val="005410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rsid w:val="0054106B"/>
    <w:pPr>
      <w:autoSpaceDE w:val="0"/>
      <w:autoSpaceDN w:val="0"/>
      <w:adjustRightInd w:val="0"/>
    </w:pPr>
    <w:rPr>
      <w:rFonts w:ascii="HelveticaNeueLT Pro 45 Lt" w:hAnsi="HelveticaNeueLT Pro 45 Lt" w:cs="HelveticaNeueLT Pro 45 Lt"/>
      <w:color w:val="000000"/>
      <w:sz w:val="24"/>
      <w:szCs w:val="24"/>
    </w:rPr>
  </w:style>
  <w:style w:type="character" w:customStyle="1" w:styleId="A5">
    <w:name w:val="A5"/>
    <w:uiPriority w:val="99"/>
    <w:rsid w:val="0054106B"/>
    <w:rPr>
      <w:rFonts w:cs="HelveticaNeueLT Pro 45 Lt"/>
      <w:color w:val="565555"/>
      <w:sz w:val="20"/>
      <w:szCs w:val="20"/>
    </w:rPr>
  </w:style>
  <w:style w:type="table" w:styleId="TableList6">
    <w:name w:val="Table List 6"/>
    <w:basedOn w:val="TableNormal"/>
    <w:rsid w:val="00541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dTable2">
    <w:name w:val="Grid Table 2"/>
    <w:basedOn w:val="TableNormal"/>
    <w:uiPriority w:val="47"/>
    <w:rsid w:val="00B24CC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24CC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832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1F93"/>
    <w:pPr>
      <w:spacing w:befor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21F93"/>
    <w:rPr>
      <w:rFonts w:asciiTheme="minorHAnsi" w:eastAsiaTheme="minorHAnsi" w:hAnsiTheme="minorHAnsi" w:cstheme="minorBidi"/>
      <w:lang w:eastAsia="en-US"/>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FR"/>
    <w:basedOn w:val="DefaultParagraphFont"/>
    <w:uiPriority w:val="99"/>
    <w:unhideWhenUsed/>
    <w:rsid w:val="00621F93"/>
    <w:rPr>
      <w:vertAlign w:val="superscript"/>
    </w:rPr>
  </w:style>
  <w:style w:type="character" w:customStyle="1" w:styleId="Heading3Char">
    <w:name w:val="Heading 3 Char"/>
    <w:basedOn w:val="DefaultParagraphFont"/>
    <w:link w:val="Heading3"/>
    <w:rsid w:val="00621F93"/>
    <w:rPr>
      <w:rFonts w:ascii="Arial" w:hAnsi="Arial" w:cs="Arial"/>
      <w:bCs/>
      <w:iCs/>
      <w:color w:val="000000" w:themeColor="text1"/>
      <w:sz w:val="22"/>
      <w:szCs w:val="28"/>
      <w:lang w:eastAsia="en-US"/>
    </w:rPr>
  </w:style>
  <w:style w:type="character" w:customStyle="1" w:styleId="ListParagraphChar">
    <w:name w:val="List Paragraph Char"/>
    <w:aliases w:val="Numbered List 1 Char,Numbered Para 1 Char,Dot pt Char,No Spacing1 Char,List Paragraph Char Char Char Char,Indicator Text Char,List Paragraph1 Char,Bullet 1 Char,Bullet Points Char,MAIN CONTENT Char,List Paragraph12 Char,L Char"/>
    <w:link w:val="ListParagraph"/>
    <w:uiPriority w:val="34"/>
    <w:qFormat/>
    <w:locked/>
    <w:rsid w:val="00621F93"/>
    <w:rPr>
      <w:rFonts w:ascii="Arial" w:hAnsi="Arial"/>
      <w:sz w:val="22"/>
      <w:szCs w:val="24"/>
      <w:lang w:val="en-US" w:eastAsia="en-US"/>
    </w:rPr>
  </w:style>
  <w:style w:type="paragraph" w:styleId="Caption">
    <w:name w:val="caption"/>
    <w:basedOn w:val="Normal"/>
    <w:next w:val="Normal"/>
    <w:unhideWhenUsed/>
    <w:qFormat/>
    <w:rsid w:val="00621F93"/>
    <w:pPr>
      <w:spacing w:before="0" w:after="200"/>
    </w:pPr>
    <w:rPr>
      <w:b/>
      <w:bCs/>
      <w:szCs w:val="22"/>
      <w:lang w:eastAsia="en-GB"/>
    </w:rPr>
  </w:style>
  <w:style w:type="character" w:styleId="CommentReference">
    <w:name w:val="annotation reference"/>
    <w:basedOn w:val="DefaultParagraphFont"/>
    <w:semiHidden/>
    <w:unhideWhenUsed/>
    <w:rsid w:val="00621F93"/>
    <w:rPr>
      <w:sz w:val="16"/>
      <w:szCs w:val="16"/>
    </w:rPr>
  </w:style>
  <w:style w:type="table" w:customStyle="1" w:styleId="Style3">
    <w:name w:val="Style3"/>
    <w:basedOn w:val="NWSTABLE"/>
    <w:uiPriority w:val="99"/>
    <w:rsid w:val="00775C79"/>
    <w:rPr>
      <w:rFonts w:ascii="Arial" w:hAnsi="Arial"/>
    </w:rPr>
    <w:tblPr/>
  </w:style>
  <w:style w:type="paragraph" w:customStyle="1" w:styleId="LetteredList1">
    <w:name w:val="Lettered List 1"/>
    <w:basedOn w:val="ListParagraph"/>
    <w:qFormat/>
    <w:rsid w:val="00906BC0"/>
    <w:pPr>
      <w:numPr>
        <w:numId w:val="5"/>
      </w:numPr>
      <w:contextualSpacing w:val="0"/>
    </w:pPr>
  </w:style>
  <w:style w:type="character" w:styleId="FollowedHyperlink">
    <w:name w:val="FollowedHyperlink"/>
    <w:basedOn w:val="DefaultParagraphFont"/>
    <w:semiHidden/>
    <w:unhideWhenUsed/>
    <w:rsid w:val="00621F93"/>
    <w:rPr>
      <w:color w:val="800080" w:themeColor="followedHyperlink"/>
      <w:u w:val="single"/>
    </w:rPr>
  </w:style>
  <w:style w:type="table" w:styleId="GridTable2-Accent3">
    <w:name w:val="Grid Table 2 Accent 3"/>
    <w:basedOn w:val="TableNormal"/>
    <w:uiPriority w:val="47"/>
    <w:rsid w:val="00EC53A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Accent1">
    <w:name w:val="Medium Grid 3 Accent 1"/>
    <w:basedOn w:val="TableNormal"/>
    <w:uiPriority w:val="69"/>
    <w:rsid w:val="0096306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ommentSubject">
    <w:name w:val="annotation subject"/>
    <w:basedOn w:val="Normal"/>
    <w:next w:val="Normal"/>
    <w:link w:val="CommentSubjectChar"/>
    <w:semiHidden/>
    <w:unhideWhenUsed/>
    <w:rsid w:val="00CC20FF"/>
    <w:pPr>
      <w:spacing w:after="0"/>
    </w:pPr>
    <w:rPr>
      <w:b/>
      <w:bCs/>
      <w:sz w:val="20"/>
      <w:szCs w:val="20"/>
    </w:rPr>
  </w:style>
  <w:style w:type="character" w:customStyle="1" w:styleId="CommentSubjectChar">
    <w:name w:val="Comment Subject Char"/>
    <w:basedOn w:val="DefaultParagraphFont"/>
    <w:link w:val="CommentSubject"/>
    <w:semiHidden/>
    <w:rsid w:val="00CC20FF"/>
    <w:rPr>
      <w:rFonts w:ascii="Arial" w:eastAsiaTheme="minorHAnsi" w:hAnsi="Arial" w:cstheme="minorBidi"/>
      <w:b/>
      <w:bCs/>
      <w:lang w:eastAsia="en-US"/>
    </w:rPr>
  </w:style>
  <w:style w:type="table" w:styleId="ListTable2-Accent3">
    <w:name w:val="List Table 2 Accent 3"/>
    <w:basedOn w:val="TableNormal"/>
    <w:uiPriority w:val="47"/>
    <w:rsid w:val="00187A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ghtGrid-Accent1">
    <w:name w:val="Light Grid Accent 1"/>
    <w:basedOn w:val="TableNormal"/>
    <w:uiPriority w:val="62"/>
    <w:rsid w:val="00E00F26"/>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
    <w:name w:val="Table Grid2"/>
    <w:basedOn w:val="TableNormal"/>
    <w:next w:val="TableGrid"/>
    <w:uiPriority w:val="39"/>
    <w:rsid w:val="00792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C22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5C22D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E848D2"/>
    <w:pPr>
      <w:spacing w:before="100" w:beforeAutospacing="1" w:after="100" w:afterAutospacing="1"/>
    </w:pPr>
    <w:rPr>
      <w:rFonts w:ascii="Times New Roman" w:hAnsi="Times New Roman"/>
      <w:sz w:val="24"/>
      <w:lang w:eastAsia="en-GB"/>
    </w:rPr>
  </w:style>
  <w:style w:type="table" w:customStyle="1" w:styleId="TableGrid3">
    <w:name w:val="Table Grid3"/>
    <w:basedOn w:val="TableNormal"/>
    <w:next w:val="TableGrid"/>
    <w:uiPriority w:val="59"/>
    <w:rsid w:val="002B0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543F"/>
    <w:rPr>
      <w:b/>
      <w:bCs/>
    </w:rPr>
  </w:style>
  <w:style w:type="character" w:styleId="Emphasis">
    <w:name w:val="Emphasis"/>
    <w:basedOn w:val="DefaultParagraphFont"/>
    <w:uiPriority w:val="20"/>
    <w:qFormat/>
    <w:rsid w:val="00A9543F"/>
    <w:rPr>
      <w:i/>
      <w:iCs/>
    </w:rPr>
  </w:style>
  <w:style w:type="table" w:customStyle="1" w:styleId="GridTable2-Accent31">
    <w:name w:val="Grid Table 2 - Accent 31"/>
    <w:basedOn w:val="TableNormal"/>
    <w:uiPriority w:val="47"/>
    <w:rsid w:val="00C3274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4">
    <w:name w:val="Plain Table 4"/>
    <w:basedOn w:val="TableNormal"/>
    <w:uiPriority w:val="44"/>
    <w:rsid w:val="00531D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31D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31D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31D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rsid w:val="00700281"/>
    <w:rPr>
      <w:rFonts w:ascii="Arial" w:hAnsi="Arial" w:cs="Arial"/>
      <w:bCs/>
      <w:iCs/>
      <w:color w:val="000000" w:themeColor="text1"/>
      <w:sz w:val="22"/>
      <w:szCs w:val="28"/>
      <w:lang w:eastAsia="en-US"/>
    </w:rPr>
  </w:style>
  <w:style w:type="table" w:styleId="GridTable4-Accent1">
    <w:name w:val="Grid Table 4 Accent 1"/>
    <w:basedOn w:val="TableNormal"/>
    <w:uiPriority w:val="49"/>
    <w:rsid w:val="00E46D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003B3A"/>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6">
    <w:name w:val="Grid Table 2 Accent 6"/>
    <w:basedOn w:val="TableNormal"/>
    <w:uiPriority w:val="47"/>
    <w:rsid w:val="00E81567"/>
    <w:rPr>
      <w:rFonts w:asciiTheme="minorHAnsi" w:eastAsiaTheme="minorHAnsi" w:hAnsiTheme="minorHAnsi" w:cstheme="minorBidi"/>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5Char">
    <w:name w:val="Heading 5 Char"/>
    <w:basedOn w:val="DefaultParagraphFont"/>
    <w:link w:val="Heading5"/>
    <w:rsid w:val="008C0316"/>
    <w:rPr>
      <w:rFonts w:ascii="Arial" w:hAnsi="Arial"/>
      <w:b/>
      <w:bCs/>
      <w:iCs/>
      <w:sz w:val="24"/>
      <w:szCs w:val="26"/>
      <w:lang w:eastAsia="en-US"/>
    </w:rPr>
  </w:style>
  <w:style w:type="paragraph" w:customStyle="1" w:styleId="Guidance">
    <w:name w:val="Guidance"/>
    <w:basedOn w:val="Normal"/>
    <w:link w:val="GuidanceChar"/>
    <w:qFormat/>
    <w:rsid w:val="00DC787A"/>
    <w:pPr>
      <w:spacing w:before="0" w:line="276" w:lineRule="auto"/>
    </w:pPr>
    <w:rPr>
      <w:rFonts w:eastAsiaTheme="minorEastAsia" w:cs="Arial"/>
      <w:i/>
      <w:color w:val="1F497D" w:themeColor="text2"/>
      <w:szCs w:val="22"/>
      <w:lang w:eastAsia="en-GB"/>
    </w:rPr>
  </w:style>
  <w:style w:type="character" w:customStyle="1" w:styleId="GuidanceChar">
    <w:name w:val="Guidance Char"/>
    <w:basedOn w:val="DefaultParagraphFont"/>
    <w:link w:val="Guidance"/>
    <w:rsid w:val="00DC787A"/>
    <w:rPr>
      <w:rFonts w:ascii="Arial" w:eastAsiaTheme="minorEastAsia" w:hAnsi="Arial" w:cs="Arial"/>
      <w:i/>
      <w:color w:val="1F497D" w:themeColor="text2"/>
      <w:sz w:val="22"/>
      <w:szCs w:val="22"/>
    </w:rPr>
  </w:style>
  <w:style w:type="character" w:customStyle="1" w:styleId="Heading6Char">
    <w:name w:val="Heading 6 Char"/>
    <w:basedOn w:val="DefaultParagraphFont"/>
    <w:link w:val="Heading6"/>
    <w:semiHidden/>
    <w:rsid w:val="00612649"/>
    <w:rPr>
      <w:rFonts w:asciiTheme="majorHAnsi" w:eastAsiaTheme="majorEastAsia" w:hAnsiTheme="majorHAnsi" w:cstheme="majorBidi"/>
      <w:color w:val="243F60" w:themeColor="accent1" w:themeShade="7F"/>
      <w:sz w:val="22"/>
      <w:szCs w:val="24"/>
      <w:lang w:eastAsia="en-US"/>
    </w:rPr>
  </w:style>
  <w:style w:type="character" w:customStyle="1" w:styleId="Heading7Char">
    <w:name w:val="Heading 7 Char"/>
    <w:basedOn w:val="DefaultParagraphFont"/>
    <w:link w:val="Heading7"/>
    <w:semiHidden/>
    <w:rsid w:val="00612649"/>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semiHidden/>
    <w:rsid w:val="0061264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12649"/>
    <w:rPr>
      <w:rFonts w:asciiTheme="majorHAnsi" w:eastAsiaTheme="majorEastAsia" w:hAnsiTheme="majorHAnsi" w:cstheme="majorBidi"/>
      <w:i/>
      <w:iCs/>
      <w:color w:val="272727" w:themeColor="text1" w:themeTint="D8"/>
      <w:sz w:val="21"/>
      <w:szCs w:val="21"/>
      <w:lang w:eastAsia="en-US"/>
    </w:rPr>
  </w:style>
  <w:style w:type="table" w:customStyle="1" w:styleId="TableGrid4">
    <w:name w:val="Table Grid4"/>
    <w:basedOn w:val="TableNormal"/>
    <w:next w:val="TableGrid"/>
    <w:uiPriority w:val="39"/>
    <w:rsid w:val="00F015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CF8"/>
    <w:rPr>
      <w:color w:val="605E5C"/>
      <w:shd w:val="clear" w:color="auto" w:fill="E1DFDD"/>
    </w:rPr>
  </w:style>
  <w:style w:type="paragraph" w:styleId="BodyText">
    <w:name w:val="Body Text"/>
    <w:basedOn w:val="Normal"/>
    <w:link w:val="BodyTextChar"/>
    <w:uiPriority w:val="99"/>
    <w:semiHidden/>
    <w:unhideWhenUsed/>
    <w:rsid w:val="00CB412A"/>
    <w:rPr>
      <w:rFonts w:eastAsiaTheme="minorHAnsi" w:cs="Arial"/>
      <w:szCs w:val="22"/>
    </w:rPr>
  </w:style>
  <w:style w:type="character" w:customStyle="1" w:styleId="BodyTextChar">
    <w:name w:val="Body Text Char"/>
    <w:basedOn w:val="DefaultParagraphFont"/>
    <w:link w:val="BodyText"/>
    <w:uiPriority w:val="99"/>
    <w:semiHidden/>
    <w:rsid w:val="00CB412A"/>
    <w:rPr>
      <w:rFonts w:ascii="Arial" w:eastAsiaTheme="minorHAnsi" w:hAnsi="Arial" w:cs="Arial"/>
      <w:sz w:val="22"/>
      <w:szCs w:val="22"/>
      <w:lang w:eastAsia="en-US"/>
    </w:rPr>
  </w:style>
  <w:style w:type="paragraph" w:styleId="TOCHeading">
    <w:name w:val="TOC Heading"/>
    <w:basedOn w:val="Heading1"/>
    <w:next w:val="Normal"/>
    <w:uiPriority w:val="39"/>
    <w:unhideWhenUsed/>
    <w:qFormat/>
    <w:rsid w:val="00F02DD6"/>
    <w:pPr>
      <w:keepLines/>
      <w:numPr>
        <w:numId w:val="0"/>
      </w:numPr>
      <w:spacing w:before="240" w:after="0" w:line="259" w:lineRule="auto"/>
      <w:outlineLvl w:val="9"/>
    </w:pPr>
    <w:rPr>
      <w:rFonts w:asciiTheme="majorHAnsi" w:eastAsiaTheme="majorEastAsia" w:hAnsiTheme="majorHAnsi" w:cstheme="majorBidi"/>
      <w:b w:val="0"/>
      <w:bCs w:val="0"/>
      <w:iCs w:val="0"/>
      <w:color w:val="365F91" w:themeColor="accent1" w:themeShade="BF"/>
      <w:szCs w:val="32"/>
      <w:lang w:val="en-US"/>
    </w:rPr>
  </w:style>
  <w:style w:type="paragraph" w:styleId="TOC1">
    <w:name w:val="toc 1"/>
    <w:basedOn w:val="Normal"/>
    <w:next w:val="Normal"/>
    <w:autoRedefine/>
    <w:uiPriority w:val="39"/>
    <w:unhideWhenUsed/>
    <w:rsid w:val="00F02DD6"/>
    <w:pPr>
      <w:spacing w:after="100"/>
    </w:pPr>
  </w:style>
  <w:style w:type="paragraph" w:styleId="TOC3">
    <w:name w:val="toc 3"/>
    <w:basedOn w:val="Normal"/>
    <w:next w:val="Normal"/>
    <w:autoRedefine/>
    <w:uiPriority w:val="39"/>
    <w:unhideWhenUsed/>
    <w:rsid w:val="00F02DD6"/>
    <w:pPr>
      <w:spacing w:after="100"/>
      <w:ind w:left="440"/>
    </w:pPr>
  </w:style>
  <w:style w:type="paragraph" w:styleId="TOC2">
    <w:name w:val="toc 2"/>
    <w:basedOn w:val="Normal"/>
    <w:next w:val="Normal"/>
    <w:autoRedefine/>
    <w:uiPriority w:val="39"/>
    <w:unhideWhenUsed/>
    <w:rsid w:val="00F02DD6"/>
    <w:pPr>
      <w:spacing w:after="100"/>
      <w:ind w:left="220"/>
    </w:pPr>
  </w:style>
  <w:style w:type="paragraph" w:styleId="TOC4">
    <w:name w:val="toc 4"/>
    <w:basedOn w:val="Normal"/>
    <w:next w:val="Normal"/>
    <w:autoRedefine/>
    <w:uiPriority w:val="39"/>
    <w:unhideWhenUsed/>
    <w:rsid w:val="00F02DD6"/>
    <w:pPr>
      <w:spacing w:before="0" w:after="100" w:line="259" w:lineRule="auto"/>
      <w:ind w:left="660"/>
    </w:pPr>
    <w:rPr>
      <w:rFonts w:asciiTheme="minorHAnsi" w:eastAsiaTheme="minorEastAsia" w:hAnsiTheme="minorHAnsi" w:cstheme="minorBidi"/>
      <w:kern w:val="2"/>
      <w:szCs w:val="22"/>
      <w:lang w:eastAsia="en-GB"/>
      <w14:ligatures w14:val="standardContextual"/>
    </w:rPr>
  </w:style>
  <w:style w:type="paragraph" w:styleId="TOC5">
    <w:name w:val="toc 5"/>
    <w:basedOn w:val="Normal"/>
    <w:next w:val="Normal"/>
    <w:autoRedefine/>
    <w:uiPriority w:val="39"/>
    <w:unhideWhenUsed/>
    <w:rsid w:val="00F02DD6"/>
    <w:pPr>
      <w:spacing w:before="0" w:after="100" w:line="259" w:lineRule="auto"/>
      <w:ind w:left="880"/>
    </w:pPr>
    <w:rPr>
      <w:rFonts w:asciiTheme="minorHAnsi" w:eastAsiaTheme="minorEastAsia" w:hAnsiTheme="minorHAnsi" w:cstheme="minorBidi"/>
      <w:kern w:val="2"/>
      <w:szCs w:val="22"/>
      <w:lang w:eastAsia="en-GB"/>
      <w14:ligatures w14:val="standardContextual"/>
    </w:rPr>
  </w:style>
  <w:style w:type="paragraph" w:styleId="TOC6">
    <w:name w:val="toc 6"/>
    <w:basedOn w:val="Normal"/>
    <w:next w:val="Normal"/>
    <w:autoRedefine/>
    <w:uiPriority w:val="39"/>
    <w:unhideWhenUsed/>
    <w:rsid w:val="00F02DD6"/>
    <w:pPr>
      <w:spacing w:before="0" w:after="100" w:line="259" w:lineRule="auto"/>
      <w:ind w:left="1100"/>
    </w:pPr>
    <w:rPr>
      <w:rFonts w:asciiTheme="minorHAnsi" w:eastAsiaTheme="minorEastAsia" w:hAnsiTheme="minorHAnsi" w:cstheme="minorBidi"/>
      <w:kern w:val="2"/>
      <w:szCs w:val="22"/>
      <w:lang w:eastAsia="en-GB"/>
      <w14:ligatures w14:val="standardContextual"/>
    </w:rPr>
  </w:style>
  <w:style w:type="paragraph" w:styleId="TOC7">
    <w:name w:val="toc 7"/>
    <w:basedOn w:val="Normal"/>
    <w:next w:val="Normal"/>
    <w:autoRedefine/>
    <w:uiPriority w:val="39"/>
    <w:unhideWhenUsed/>
    <w:rsid w:val="00F02DD6"/>
    <w:pPr>
      <w:spacing w:before="0" w:after="100" w:line="259" w:lineRule="auto"/>
      <w:ind w:left="1320"/>
    </w:pPr>
    <w:rPr>
      <w:rFonts w:asciiTheme="minorHAnsi" w:eastAsiaTheme="minorEastAsia" w:hAnsiTheme="minorHAnsi" w:cstheme="minorBidi"/>
      <w:kern w:val="2"/>
      <w:szCs w:val="22"/>
      <w:lang w:eastAsia="en-GB"/>
      <w14:ligatures w14:val="standardContextual"/>
    </w:rPr>
  </w:style>
  <w:style w:type="paragraph" w:styleId="TOC8">
    <w:name w:val="toc 8"/>
    <w:basedOn w:val="Normal"/>
    <w:next w:val="Normal"/>
    <w:autoRedefine/>
    <w:uiPriority w:val="39"/>
    <w:unhideWhenUsed/>
    <w:rsid w:val="00F02DD6"/>
    <w:pPr>
      <w:spacing w:before="0" w:after="100" w:line="259" w:lineRule="auto"/>
      <w:ind w:left="1540"/>
    </w:pPr>
    <w:rPr>
      <w:rFonts w:asciiTheme="minorHAnsi" w:eastAsiaTheme="minorEastAsia" w:hAnsiTheme="minorHAnsi" w:cstheme="minorBidi"/>
      <w:kern w:val="2"/>
      <w:szCs w:val="22"/>
      <w:lang w:eastAsia="en-GB"/>
      <w14:ligatures w14:val="standardContextual"/>
    </w:rPr>
  </w:style>
  <w:style w:type="paragraph" w:styleId="TOC9">
    <w:name w:val="toc 9"/>
    <w:basedOn w:val="Normal"/>
    <w:next w:val="Normal"/>
    <w:autoRedefine/>
    <w:uiPriority w:val="39"/>
    <w:unhideWhenUsed/>
    <w:rsid w:val="00F02DD6"/>
    <w:pPr>
      <w:spacing w:before="0" w:after="100" w:line="259" w:lineRule="auto"/>
      <w:ind w:left="1760"/>
    </w:pPr>
    <w:rPr>
      <w:rFonts w:asciiTheme="minorHAnsi" w:eastAsiaTheme="minorEastAsia" w:hAnsiTheme="minorHAnsi" w:cstheme="minorBidi"/>
      <w:kern w:val="2"/>
      <w:szCs w:val="22"/>
      <w:lang w:eastAsia="en-GB"/>
      <w14:ligatures w14:val="standardContextual"/>
    </w:rPr>
  </w:style>
  <w:style w:type="paragraph" w:styleId="TableofFigures">
    <w:name w:val="table of figures"/>
    <w:basedOn w:val="Normal"/>
    <w:next w:val="Normal"/>
    <w:uiPriority w:val="99"/>
    <w:unhideWhenUsed/>
    <w:rsid w:val="00836D85"/>
  </w:style>
  <w:style w:type="paragraph" w:styleId="Revision">
    <w:name w:val="Revision"/>
    <w:hidden/>
    <w:uiPriority w:val="99"/>
    <w:semiHidden/>
    <w:rsid w:val="000C09A1"/>
    <w:rPr>
      <w:rFonts w:ascii="Arial" w:hAnsi="Arial"/>
      <w:sz w:val="22"/>
      <w:szCs w:val="24"/>
      <w:lang w:eastAsia="en-US"/>
    </w:rPr>
  </w:style>
  <w:style w:type="table" w:customStyle="1" w:styleId="Style1">
    <w:name w:val="Style1"/>
    <w:basedOn w:val="TableNormal"/>
    <w:uiPriority w:val="99"/>
    <w:rsid w:val="0000064B"/>
    <w:tblPr/>
    <w:tcPr>
      <w:shd w:val="clear" w:color="auto" w:fill="auto"/>
    </w:tcPr>
  </w:style>
  <w:style w:type="paragraph" w:customStyle="1" w:styleId="Letteredlist2">
    <w:name w:val="Lettered list 2"/>
    <w:basedOn w:val="ListParagraph"/>
    <w:qFormat/>
    <w:rsid w:val="00A83FA8"/>
    <w:pPr>
      <w:numPr>
        <w:numId w:val="6"/>
      </w:numPr>
      <w:ind w:left="714" w:hanging="357"/>
      <w:contextualSpacing w:val="0"/>
    </w:pPr>
  </w:style>
  <w:style w:type="character" w:customStyle="1" w:styleId="FooterChar">
    <w:name w:val="Footer Char"/>
    <w:basedOn w:val="DefaultParagraphFont"/>
    <w:link w:val="Footer"/>
    <w:uiPriority w:val="99"/>
    <w:rsid w:val="00D3034B"/>
    <w:rPr>
      <w:rFonts w:ascii="Arial" w:hAnsi="Arial"/>
      <w:sz w:val="16"/>
      <w:szCs w:val="24"/>
      <w:lang w:eastAsia="en-US"/>
    </w:rPr>
  </w:style>
  <w:style w:type="table" w:styleId="ListTable2">
    <w:name w:val="List Table 2"/>
    <w:basedOn w:val="TableNormal"/>
    <w:uiPriority w:val="47"/>
    <w:rsid w:val="00C855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5">
    <w:name w:val="Table Grid5"/>
    <w:basedOn w:val="TableNormal"/>
    <w:next w:val="TableGrid"/>
    <w:rsid w:val="0094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1">
    <w:name w:val="Bulleted List 1"/>
    <w:basedOn w:val="ListParagraph"/>
    <w:qFormat/>
    <w:rsid w:val="00C4782C"/>
    <w:pPr>
      <w:contextualSpacing w:val="0"/>
    </w:pPr>
    <w:rPr>
      <w:szCs w:val="20"/>
    </w:rPr>
  </w:style>
  <w:style w:type="table" w:customStyle="1" w:styleId="TableGrid6">
    <w:name w:val="Table Grid6"/>
    <w:basedOn w:val="TableNormal"/>
    <w:next w:val="TableGrid"/>
    <w:rsid w:val="0097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02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4846"/>
      </w:tcPr>
    </w:tblStylePr>
  </w:style>
  <w:style w:type="paragraph" w:customStyle="1" w:styleId="Heading21">
    <w:name w:val="Heading 21"/>
    <w:basedOn w:val="Heading2"/>
    <w:next w:val="Normal"/>
    <w:rsid w:val="00FC39DA"/>
    <w:rPr>
      <w:b/>
      <w:iCs w:val="0"/>
      <w:color w:val="003629"/>
      <w:sz w:val="28"/>
    </w:rPr>
  </w:style>
  <w:style w:type="paragraph" w:customStyle="1" w:styleId="Heading31">
    <w:name w:val="Heading 31"/>
    <w:basedOn w:val="Heading3"/>
    <w:next w:val="Normal"/>
    <w:qFormat/>
    <w:rsid w:val="00FC39DA"/>
    <w:rPr>
      <w:b/>
      <w:iCs w:val="0"/>
      <w:color w:val="003629"/>
      <w:sz w:val="24"/>
    </w:rPr>
  </w:style>
  <w:style w:type="paragraph" w:customStyle="1" w:styleId="Heading11">
    <w:name w:val="Heading 11"/>
    <w:basedOn w:val="Heading1"/>
    <w:next w:val="Normal"/>
    <w:rsid w:val="005A27DD"/>
    <w:pPr>
      <w:pageBreakBefore/>
    </w:pPr>
    <w:rPr>
      <w:iCs w:val="0"/>
      <w:color w:val="003629"/>
      <w:sz w:val="40"/>
    </w:rPr>
  </w:style>
  <w:style w:type="paragraph" w:customStyle="1" w:styleId="Heading41">
    <w:name w:val="Heading 41"/>
    <w:basedOn w:val="Heading4"/>
    <w:next w:val="Normal"/>
    <w:rsid w:val="00FC39DA"/>
    <w:rPr>
      <w:b/>
      <w:iCs w:val="0"/>
      <w:color w:val="003629"/>
    </w:rPr>
  </w:style>
  <w:style w:type="paragraph" w:customStyle="1" w:styleId="BulletedList2">
    <w:name w:val="Bulleted List 2"/>
    <w:basedOn w:val="BulletedList1"/>
    <w:qFormat/>
    <w:rsid w:val="006855B6"/>
    <w:pPr>
      <w:numPr>
        <w:ilvl w:val="1"/>
        <w:numId w:val="4"/>
      </w:numPr>
      <w:ind w:left="1080"/>
    </w:pPr>
  </w:style>
  <w:style w:type="paragraph" w:customStyle="1" w:styleId="TableText2">
    <w:name w:val="Table Text 2"/>
    <w:basedOn w:val="Normal"/>
    <w:rsid w:val="006930CF"/>
    <w:pPr>
      <w:tabs>
        <w:tab w:val="center" w:pos="4513"/>
        <w:tab w:val="right" w:pos="9026"/>
      </w:tabs>
      <w:spacing w:before="60" w:after="60"/>
    </w:pPr>
    <w:rPr>
      <w:rFonts w:cs="Arial"/>
      <w:sz w:val="20"/>
      <w:szCs w:val="18"/>
      <w:lang w:eastAsia="en-GB"/>
    </w:rPr>
  </w:style>
  <w:style w:type="paragraph" w:customStyle="1" w:styleId="TableText2Heading">
    <w:name w:val="Table Text 2 Heading"/>
    <w:basedOn w:val="Normal"/>
    <w:autoRedefine/>
    <w:rsid w:val="004E4F12"/>
    <w:rPr>
      <w:rFonts w:cs="Arial"/>
      <w:b/>
      <w:bCs/>
      <w:color w:val="FFFFFF" w:themeColor="background1"/>
      <w:sz w:val="20"/>
    </w:rPr>
  </w:style>
  <w:style w:type="paragraph" w:customStyle="1" w:styleId="TableText1">
    <w:name w:val="Table Text 1"/>
    <w:basedOn w:val="Normal"/>
    <w:rsid w:val="00E016AA"/>
    <w:rPr>
      <w:rFonts w:eastAsia="Arial" w:cs="Arial"/>
      <w:color w:val="000000" w:themeColor="text1"/>
      <w:szCs w:val="22"/>
    </w:rPr>
  </w:style>
  <w:style w:type="paragraph" w:customStyle="1" w:styleId="TableText1Heading">
    <w:name w:val="Table Text 1 Heading"/>
    <w:basedOn w:val="Normal"/>
    <w:qFormat/>
    <w:rsid w:val="00F01992"/>
    <w:pPr>
      <w:jc w:val="center"/>
    </w:pPr>
    <w:rPr>
      <w:b/>
      <w:bCs/>
      <w:color w:val="FFFFFF"/>
      <w:szCs w:val="20"/>
    </w:rPr>
  </w:style>
  <w:style w:type="paragraph" w:styleId="CommentText">
    <w:name w:val="annotation text"/>
    <w:basedOn w:val="Normal"/>
    <w:link w:val="CommentTextChar"/>
    <w:semiHidden/>
    <w:unhideWhenUsed/>
    <w:rsid w:val="003F371F"/>
    <w:rPr>
      <w:sz w:val="20"/>
      <w:szCs w:val="20"/>
    </w:rPr>
  </w:style>
  <w:style w:type="character" w:customStyle="1" w:styleId="CommentTextChar">
    <w:name w:val="Comment Text Char"/>
    <w:basedOn w:val="DefaultParagraphFont"/>
    <w:link w:val="CommentText"/>
    <w:semiHidden/>
    <w:rsid w:val="003F371F"/>
    <w:rPr>
      <w:rFonts w:ascii="Arial" w:hAnsi="Arial"/>
      <w:lang w:eastAsia="en-US"/>
    </w:rPr>
  </w:style>
  <w:style w:type="paragraph" w:styleId="Header">
    <w:name w:val="header"/>
    <w:basedOn w:val="Normal"/>
    <w:link w:val="HeaderChar"/>
    <w:semiHidden/>
    <w:unhideWhenUsed/>
    <w:rsid w:val="00030D9D"/>
    <w:pPr>
      <w:tabs>
        <w:tab w:val="center" w:pos="4513"/>
        <w:tab w:val="right" w:pos="9026"/>
      </w:tabs>
      <w:spacing w:before="0" w:after="0"/>
    </w:pPr>
  </w:style>
  <w:style w:type="character" w:customStyle="1" w:styleId="HeaderChar">
    <w:name w:val="Header Char"/>
    <w:basedOn w:val="DefaultParagraphFont"/>
    <w:link w:val="Header"/>
    <w:semiHidden/>
    <w:rsid w:val="00030D9D"/>
    <w:rPr>
      <w:rFonts w:ascii="Arial" w:hAnsi="Arial"/>
      <w:sz w:val="22"/>
      <w:szCs w:val="24"/>
      <w:lang w:eastAsia="en-US"/>
    </w:rPr>
  </w:style>
  <w:style w:type="table" w:customStyle="1" w:styleId="TableGrid7">
    <w:name w:val="Table Grid7"/>
    <w:basedOn w:val="TableNormal"/>
    <w:next w:val="TableGrid"/>
    <w:uiPriority w:val="39"/>
    <w:rsid w:val="006A19CA"/>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B15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8658">
      <w:bodyDiv w:val="1"/>
      <w:marLeft w:val="0"/>
      <w:marRight w:val="0"/>
      <w:marTop w:val="0"/>
      <w:marBottom w:val="0"/>
      <w:divBdr>
        <w:top w:val="none" w:sz="0" w:space="0" w:color="auto"/>
        <w:left w:val="none" w:sz="0" w:space="0" w:color="auto"/>
        <w:bottom w:val="none" w:sz="0" w:space="0" w:color="auto"/>
        <w:right w:val="none" w:sz="0" w:space="0" w:color="auto"/>
      </w:divBdr>
    </w:div>
    <w:div w:id="261308469">
      <w:bodyDiv w:val="1"/>
      <w:marLeft w:val="0"/>
      <w:marRight w:val="0"/>
      <w:marTop w:val="0"/>
      <w:marBottom w:val="0"/>
      <w:divBdr>
        <w:top w:val="none" w:sz="0" w:space="0" w:color="auto"/>
        <w:left w:val="none" w:sz="0" w:space="0" w:color="auto"/>
        <w:bottom w:val="none" w:sz="0" w:space="0" w:color="auto"/>
        <w:right w:val="none" w:sz="0" w:space="0" w:color="auto"/>
      </w:divBdr>
    </w:div>
    <w:div w:id="329718268">
      <w:bodyDiv w:val="1"/>
      <w:marLeft w:val="0"/>
      <w:marRight w:val="0"/>
      <w:marTop w:val="0"/>
      <w:marBottom w:val="0"/>
      <w:divBdr>
        <w:top w:val="none" w:sz="0" w:space="0" w:color="auto"/>
        <w:left w:val="none" w:sz="0" w:space="0" w:color="auto"/>
        <w:bottom w:val="none" w:sz="0" w:space="0" w:color="auto"/>
        <w:right w:val="none" w:sz="0" w:space="0" w:color="auto"/>
      </w:divBdr>
    </w:div>
    <w:div w:id="329914258">
      <w:bodyDiv w:val="1"/>
      <w:marLeft w:val="0"/>
      <w:marRight w:val="0"/>
      <w:marTop w:val="0"/>
      <w:marBottom w:val="0"/>
      <w:divBdr>
        <w:top w:val="none" w:sz="0" w:space="0" w:color="auto"/>
        <w:left w:val="none" w:sz="0" w:space="0" w:color="auto"/>
        <w:bottom w:val="none" w:sz="0" w:space="0" w:color="auto"/>
        <w:right w:val="none" w:sz="0" w:space="0" w:color="auto"/>
      </w:divBdr>
    </w:div>
    <w:div w:id="338125491">
      <w:bodyDiv w:val="1"/>
      <w:marLeft w:val="0"/>
      <w:marRight w:val="0"/>
      <w:marTop w:val="0"/>
      <w:marBottom w:val="0"/>
      <w:divBdr>
        <w:top w:val="none" w:sz="0" w:space="0" w:color="auto"/>
        <w:left w:val="none" w:sz="0" w:space="0" w:color="auto"/>
        <w:bottom w:val="none" w:sz="0" w:space="0" w:color="auto"/>
        <w:right w:val="none" w:sz="0" w:space="0" w:color="auto"/>
      </w:divBdr>
    </w:div>
    <w:div w:id="478813486">
      <w:bodyDiv w:val="1"/>
      <w:marLeft w:val="0"/>
      <w:marRight w:val="0"/>
      <w:marTop w:val="0"/>
      <w:marBottom w:val="0"/>
      <w:divBdr>
        <w:top w:val="none" w:sz="0" w:space="0" w:color="auto"/>
        <w:left w:val="none" w:sz="0" w:space="0" w:color="auto"/>
        <w:bottom w:val="none" w:sz="0" w:space="0" w:color="auto"/>
        <w:right w:val="none" w:sz="0" w:space="0" w:color="auto"/>
      </w:divBdr>
    </w:div>
    <w:div w:id="576550452">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
    <w:div w:id="752044846">
      <w:bodyDiv w:val="1"/>
      <w:marLeft w:val="0"/>
      <w:marRight w:val="0"/>
      <w:marTop w:val="0"/>
      <w:marBottom w:val="0"/>
      <w:divBdr>
        <w:top w:val="none" w:sz="0" w:space="0" w:color="auto"/>
        <w:left w:val="none" w:sz="0" w:space="0" w:color="auto"/>
        <w:bottom w:val="none" w:sz="0" w:space="0" w:color="auto"/>
        <w:right w:val="none" w:sz="0" w:space="0" w:color="auto"/>
      </w:divBdr>
      <w:divsChild>
        <w:div w:id="1560706525">
          <w:marLeft w:val="0"/>
          <w:marRight w:val="0"/>
          <w:marTop w:val="0"/>
          <w:marBottom w:val="0"/>
          <w:divBdr>
            <w:top w:val="none" w:sz="0" w:space="0" w:color="auto"/>
            <w:left w:val="none" w:sz="0" w:space="0" w:color="auto"/>
            <w:bottom w:val="none" w:sz="0" w:space="0" w:color="auto"/>
            <w:right w:val="none" w:sz="0" w:space="0" w:color="auto"/>
          </w:divBdr>
        </w:div>
      </w:divsChild>
    </w:div>
    <w:div w:id="831214472">
      <w:bodyDiv w:val="1"/>
      <w:marLeft w:val="0"/>
      <w:marRight w:val="0"/>
      <w:marTop w:val="0"/>
      <w:marBottom w:val="0"/>
      <w:divBdr>
        <w:top w:val="none" w:sz="0" w:space="0" w:color="auto"/>
        <w:left w:val="none" w:sz="0" w:space="0" w:color="auto"/>
        <w:bottom w:val="none" w:sz="0" w:space="0" w:color="auto"/>
        <w:right w:val="none" w:sz="0" w:space="0" w:color="auto"/>
      </w:divBdr>
    </w:div>
    <w:div w:id="867836438">
      <w:bodyDiv w:val="1"/>
      <w:marLeft w:val="0"/>
      <w:marRight w:val="0"/>
      <w:marTop w:val="0"/>
      <w:marBottom w:val="0"/>
      <w:divBdr>
        <w:top w:val="none" w:sz="0" w:space="0" w:color="auto"/>
        <w:left w:val="none" w:sz="0" w:space="0" w:color="auto"/>
        <w:bottom w:val="none" w:sz="0" w:space="0" w:color="auto"/>
        <w:right w:val="none" w:sz="0" w:space="0" w:color="auto"/>
      </w:divBdr>
    </w:div>
    <w:div w:id="893321550">
      <w:bodyDiv w:val="1"/>
      <w:marLeft w:val="0"/>
      <w:marRight w:val="0"/>
      <w:marTop w:val="0"/>
      <w:marBottom w:val="0"/>
      <w:divBdr>
        <w:top w:val="none" w:sz="0" w:space="0" w:color="auto"/>
        <w:left w:val="none" w:sz="0" w:space="0" w:color="auto"/>
        <w:bottom w:val="none" w:sz="0" w:space="0" w:color="auto"/>
        <w:right w:val="none" w:sz="0" w:space="0" w:color="auto"/>
      </w:divBdr>
    </w:div>
    <w:div w:id="991375557">
      <w:bodyDiv w:val="1"/>
      <w:marLeft w:val="0"/>
      <w:marRight w:val="0"/>
      <w:marTop w:val="0"/>
      <w:marBottom w:val="0"/>
      <w:divBdr>
        <w:top w:val="none" w:sz="0" w:space="0" w:color="auto"/>
        <w:left w:val="none" w:sz="0" w:space="0" w:color="auto"/>
        <w:bottom w:val="none" w:sz="0" w:space="0" w:color="auto"/>
        <w:right w:val="none" w:sz="0" w:space="0" w:color="auto"/>
      </w:divBdr>
    </w:div>
    <w:div w:id="998925305">
      <w:bodyDiv w:val="1"/>
      <w:marLeft w:val="0"/>
      <w:marRight w:val="0"/>
      <w:marTop w:val="0"/>
      <w:marBottom w:val="0"/>
      <w:divBdr>
        <w:top w:val="none" w:sz="0" w:space="0" w:color="auto"/>
        <w:left w:val="none" w:sz="0" w:space="0" w:color="auto"/>
        <w:bottom w:val="none" w:sz="0" w:space="0" w:color="auto"/>
        <w:right w:val="none" w:sz="0" w:space="0" w:color="auto"/>
      </w:divBdr>
    </w:div>
    <w:div w:id="1018388992">
      <w:bodyDiv w:val="1"/>
      <w:marLeft w:val="0"/>
      <w:marRight w:val="0"/>
      <w:marTop w:val="0"/>
      <w:marBottom w:val="0"/>
      <w:divBdr>
        <w:top w:val="none" w:sz="0" w:space="0" w:color="auto"/>
        <w:left w:val="none" w:sz="0" w:space="0" w:color="auto"/>
        <w:bottom w:val="none" w:sz="0" w:space="0" w:color="auto"/>
        <w:right w:val="none" w:sz="0" w:space="0" w:color="auto"/>
      </w:divBdr>
    </w:div>
    <w:div w:id="1075081126">
      <w:bodyDiv w:val="1"/>
      <w:marLeft w:val="0"/>
      <w:marRight w:val="0"/>
      <w:marTop w:val="0"/>
      <w:marBottom w:val="0"/>
      <w:divBdr>
        <w:top w:val="none" w:sz="0" w:space="0" w:color="auto"/>
        <w:left w:val="none" w:sz="0" w:space="0" w:color="auto"/>
        <w:bottom w:val="none" w:sz="0" w:space="0" w:color="auto"/>
        <w:right w:val="none" w:sz="0" w:space="0" w:color="auto"/>
      </w:divBdr>
    </w:div>
    <w:div w:id="1107654732">
      <w:bodyDiv w:val="1"/>
      <w:marLeft w:val="0"/>
      <w:marRight w:val="0"/>
      <w:marTop w:val="0"/>
      <w:marBottom w:val="0"/>
      <w:divBdr>
        <w:top w:val="none" w:sz="0" w:space="0" w:color="auto"/>
        <w:left w:val="none" w:sz="0" w:space="0" w:color="auto"/>
        <w:bottom w:val="none" w:sz="0" w:space="0" w:color="auto"/>
        <w:right w:val="none" w:sz="0" w:space="0" w:color="auto"/>
      </w:divBdr>
    </w:div>
    <w:div w:id="1116364818">
      <w:bodyDiv w:val="1"/>
      <w:marLeft w:val="0"/>
      <w:marRight w:val="0"/>
      <w:marTop w:val="0"/>
      <w:marBottom w:val="0"/>
      <w:divBdr>
        <w:top w:val="none" w:sz="0" w:space="0" w:color="auto"/>
        <w:left w:val="none" w:sz="0" w:space="0" w:color="auto"/>
        <w:bottom w:val="none" w:sz="0" w:space="0" w:color="auto"/>
        <w:right w:val="none" w:sz="0" w:space="0" w:color="auto"/>
      </w:divBdr>
    </w:div>
    <w:div w:id="1139298362">
      <w:bodyDiv w:val="1"/>
      <w:marLeft w:val="0"/>
      <w:marRight w:val="0"/>
      <w:marTop w:val="0"/>
      <w:marBottom w:val="0"/>
      <w:divBdr>
        <w:top w:val="none" w:sz="0" w:space="0" w:color="auto"/>
        <w:left w:val="none" w:sz="0" w:space="0" w:color="auto"/>
        <w:bottom w:val="none" w:sz="0" w:space="0" w:color="auto"/>
        <w:right w:val="none" w:sz="0" w:space="0" w:color="auto"/>
      </w:divBdr>
    </w:div>
    <w:div w:id="1256942694">
      <w:bodyDiv w:val="1"/>
      <w:marLeft w:val="0"/>
      <w:marRight w:val="0"/>
      <w:marTop w:val="0"/>
      <w:marBottom w:val="0"/>
      <w:divBdr>
        <w:top w:val="none" w:sz="0" w:space="0" w:color="auto"/>
        <w:left w:val="none" w:sz="0" w:space="0" w:color="auto"/>
        <w:bottom w:val="none" w:sz="0" w:space="0" w:color="auto"/>
        <w:right w:val="none" w:sz="0" w:space="0" w:color="auto"/>
      </w:divBdr>
      <w:divsChild>
        <w:div w:id="143473591">
          <w:marLeft w:val="0"/>
          <w:marRight w:val="0"/>
          <w:marTop w:val="0"/>
          <w:marBottom w:val="0"/>
          <w:divBdr>
            <w:top w:val="none" w:sz="0" w:space="0" w:color="auto"/>
            <w:left w:val="none" w:sz="0" w:space="0" w:color="auto"/>
            <w:bottom w:val="none" w:sz="0" w:space="0" w:color="auto"/>
            <w:right w:val="none" w:sz="0" w:space="0" w:color="auto"/>
          </w:divBdr>
        </w:div>
        <w:div w:id="748431138">
          <w:marLeft w:val="0"/>
          <w:marRight w:val="0"/>
          <w:marTop w:val="0"/>
          <w:marBottom w:val="0"/>
          <w:divBdr>
            <w:top w:val="none" w:sz="0" w:space="0" w:color="auto"/>
            <w:left w:val="none" w:sz="0" w:space="0" w:color="auto"/>
            <w:bottom w:val="none" w:sz="0" w:space="0" w:color="auto"/>
            <w:right w:val="none" w:sz="0" w:space="0" w:color="auto"/>
          </w:divBdr>
        </w:div>
        <w:div w:id="1013335744">
          <w:marLeft w:val="0"/>
          <w:marRight w:val="0"/>
          <w:marTop w:val="0"/>
          <w:marBottom w:val="0"/>
          <w:divBdr>
            <w:top w:val="none" w:sz="0" w:space="0" w:color="auto"/>
            <w:left w:val="none" w:sz="0" w:space="0" w:color="auto"/>
            <w:bottom w:val="none" w:sz="0" w:space="0" w:color="auto"/>
            <w:right w:val="none" w:sz="0" w:space="0" w:color="auto"/>
          </w:divBdr>
        </w:div>
        <w:div w:id="1069771472">
          <w:marLeft w:val="0"/>
          <w:marRight w:val="0"/>
          <w:marTop w:val="0"/>
          <w:marBottom w:val="0"/>
          <w:divBdr>
            <w:top w:val="none" w:sz="0" w:space="0" w:color="auto"/>
            <w:left w:val="none" w:sz="0" w:space="0" w:color="auto"/>
            <w:bottom w:val="none" w:sz="0" w:space="0" w:color="auto"/>
            <w:right w:val="none" w:sz="0" w:space="0" w:color="auto"/>
          </w:divBdr>
        </w:div>
        <w:div w:id="1176187458">
          <w:marLeft w:val="0"/>
          <w:marRight w:val="0"/>
          <w:marTop w:val="0"/>
          <w:marBottom w:val="0"/>
          <w:divBdr>
            <w:top w:val="none" w:sz="0" w:space="0" w:color="auto"/>
            <w:left w:val="none" w:sz="0" w:space="0" w:color="auto"/>
            <w:bottom w:val="none" w:sz="0" w:space="0" w:color="auto"/>
            <w:right w:val="none" w:sz="0" w:space="0" w:color="auto"/>
          </w:divBdr>
        </w:div>
        <w:div w:id="1189299367">
          <w:marLeft w:val="0"/>
          <w:marRight w:val="0"/>
          <w:marTop w:val="0"/>
          <w:marBottom w:val="0"/>
          <w:divBdr>
            <w:top w:val="none" w:sz="0" w:space="0" w:color="auto"/>
            <w:left w:val="none" w:sz="0" w:space="0" w:color="auto"/>
            <w:bottom w:val="none" w:sz="0" w:space="0" w:color="auto"/>
            <w:right w:val="none" w:sz="0" w:space="0" w:color="auto"/>
          </w:divBdr>
        </w:div>
        <w:div w:id="1314988676">
          <w:marLeft w:val="0"/>
          <w:marRight w:val="0"/>
          <w:marTop w:val="0"/>
          <w:marBottom w:val="0"/>
          <w:divBdr>
            <w:top w:val="none" w:sz="0" w:space="0" w:color="auto"/>
            <w:left w:val="none" w:sz="0" w:space="0" w:color="auto"/>
            <w:bottom w:val="none" w:sz="0" w:space="0" w:color="auto"/>
            <w:right w:val="none" w:sz="0" w:space="0" w:color="auto"/>
          </w:divBdr>
        </w:div>
        <w:div w:id="1320961155">
          <w:marLeft w:val="0"/>
          <w:marRight w:val="0"/>
          <w:marTop w:val="0"/>
          <w:marBottom w:val="0"/>
          <w:divBdr>
            <w:top w:val="none" w:sz="0" w:space="0" w:color="auto"/>
            <w:left w:val="none" w:sz="0" w:space="0" w:color="auto"/>
            <w:bottom w:val="none" w:sz="0" w:space="0" w:color="auto"/>
            <w:right w:val="none" w:sz="0" w:space="0" w:color="auto"/>
          </w:divBdr>
        </w:div>
        <w:div w:id="1421482857">
          <w:marLeft w:val="0"/>
          <w:marRight w:val="0"/>
          <w:marTop w:val="0"/>
          <w:marBottom w:val="0"/>
          <w:divBdr>
            <w:top w:val="none" w:sz="0" w:space="0" w:color="auto"/>
            <w:left w:val="none" w:sz="0" w:space="0" w:color="auto"/>
            <w:bottom w:val="none" w:sz="0" w:space="0" w:color="auto"/>
            <w:right w:val="none" w:sz="0" w:space="0" w:color="auto"/>
          </w:divBdr>
        </w:div>
        <w:div w:id="1772503270">
          <w:marLeft w:val="0"/>
          <w:marRight w:val="0"/>
          <w:marTop w:val="0"/>
          <w:marBottom w:val="0"/>
          <w:divBdr>
            <w:top w:val="none" w:sz="0" w:space="0" w:color="auto"/>
            <w:left w:val="none" w:sz="0" w:space="0" w:color="auto"/>
            <w:bottom w:val="none" w:sz="0" w:space="0" w:color="auto"/>
            <w:right w:val="none" w:sz="0" w:space="0" w:color="auto"/>
          </w:divBdr>
        </w:div>
        <w:div w:id="1996034611">
          <w:marLeft w:val="0"/>
          <w:marRight w:val="0"/>
          <w:marTop w:val="0"/>
          <w:marBottom w:val="0"/>
          <w:divBdr>
            <w:top w:val="none" w:sz="0" w:space="0" w:color="auto"/>
            <w:left w:val="none" w:sz="0" w:space="0" w:color="auto"/>
            <w:bottom w:val="none" w:sz="0" w:space="0" w:color="auto"/>
            <w:right w:val="none" w:sz="0" w:space="0" w:color="auto"/>
          </w:divBdr>
        </w:div>
      </w:divsChild>
    </w:div>
    <w:div w:id="1334458730">
      <w:bodyDiv w:val="1"/>
      <w:marLeft w:val="0"/>
      <w:marRight w:val="0"/>
      <w:marTop w:val="0"/>
      <w:marBottom w:val="0"/>
      <w:divBdr>
        <w:top w:val="none" w:sz="0" w:space="0" w:color="auto"/>
        <w:left w:val="none" w:sz="0" w:space="0" w:color="auto"/>
        <w:bottom w:val="none" w:sz="0" w:space="0" w:color="auto"/>
        <w:right w:val="none" w:sz="0" w:space="0" w:color="auto"/>
      </w:divBdr>
    </w:div>
    <w:div w:id="1415131232">
      <w:bodyDiv w:val="1"/>
      <w:marLeft w:val="0"/>
      <w:marRight w:val="0"/>
      <w:marTop w:val="0"/>
      <w:marBottom w:val="0"/>
      <w:divBdr>
        <w:top w:val="none" w:sz="0" w:space="0" w:color="auto"/>
        <w:left w:val="none" w:sz="0" w:space="0" w:color="auto"/>
        <w:bottom w:val="none" w:sz="0" w:space="0" w:color="auto"/>
        <w:right w:val="none" w:sz="0" w:space="0" w:color="auto"/>
      </w:divBdr>
    </w:div>
    <w:div w:id="1443768144">
      <w:bodyDiv w:val="1"/>
      <w:marLeft w:val="0"/>
      <w:marRight w:val="0"/>
      <w:marTop w:val="0"/>
      <w:marBottom w:val="0"/>
      <w:divBdr>
        <w:top w:val="none" w:sz="0" w:space="0" w:color="auto"/>
        <w:left w:val="none" w:sz="0" w:space="0" w:color="auto"/>
        <w:bottom w:val="none" w:sz="0" w:space="0" w:color="auto"/>
        <w:right w:val="none" w:sz="0" w:space="0" w:color="auto"/>
      </w:divBdr>
    </w:div>
    <w:div w:id="1591084048">
      <w:bodyDiv w:val="1"/>
      <w:marLeft w:val="0"/>
      <w:marRight w:val="0"/>
      <w:marTop w:val="0"/>
      <w:marBottom w:val="0"/>
      <w:divBdr>
        <w:top w:val="none" w:sz="0" w:space="0" w:color="auto"/>
        <w:left w:val="none" w:sz="0" w:space="0" w:color="auto"/>
        <w:bottom w:val="none" w:sz="0" w:space="0" w:color="auto"/>
        <w:right w:val="none" w:sz="0" w:space="0" w:color="auto"/>
      </w:divBdr>
    </w:div>
    <w:div w:id="1749619848">
      <w:bodyDiv w:val="1"/>
      <w:marLeft w:val="0"/>
      <w:marRight w:val="0"/>
      <w:marTop w:val="0"/>
      <w:marBottom w:val="0"/>
      <w:divBdr>
        <w:top w:val="none" w:sz="0" w:space="0" w:color="auto"/>
        <w:left w:val="none" w:sz="0" w:space="0" w:color="auto"/>
        <w:bottom w:val="none" w:sz="0" w:space="0" w:color="auto"/>
        <w:right w:val="none" w:sz="0" w:space="0" w:color="auto"/>
      </w:divBdr>
    </w:div>
    <w:div w:id="1905681157">
      <w:bodyDiv w:val="1"/>
      <w:marLeft w:val="0"/>
      <w:marRight w:val="0"/>
      <w:marTop w:val="0"/>
      <w:marBottom w:val="0"/>
      <w:divBdr>
        <w:top w:val="none" w:sz="0" w:space="0" w:color="auto"/>
        <w:left w:val="none" w:sz="0" w:space="0" w:color="auto"/>
        <w:bottom w:val="none" w:sz="0" w:space="0" w:color="auto"/>
        <w:right w:val="none" w:sz="0" w:space="0" w:color="auto"/>
      </w:divBdr>
    </w:div>
    <w:div w:id="19430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hodgson\AppData\Local\Microsoft\Windows\Temporary%20Internet%20Files\Content.IE5\26WR4MNC\NDA%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9D9D4FCBE61CF478E2D7AD18532284C" ma:contentTypeVersion="30" ma:contentTypeDescription="Create a new document." ma:contentTypeScope="" ma:versionID="311c69e1ebce667ce887f6524446c473">
  <xsd:schema xmlns:xsd="http://www.w3.org/2001/XMLSchema" xmlns:xs="http://www.w3.org/2001/XMLSchema" xmlns:p="http://schemas.microsoft.com/office/2006/metadata/properties" xmlns:ns2="4742dee6-65f8-4694-a837-d32f984e5d86" xmlns:ns3="6033a234-c704-4e9b-9e67-19f260df118c" targetNamespace="http://schemas.microsoft.com/office/2006/metadata/properties" ma:root="true" ma:fieldsID="2f90f2b0df5f795c1b18bab2721d3563" ns2:_="" ns3:_="">
    <xsd:import namespace="4742dee6-65f8-4694-a837-d32f984e5d86"/>
    <xsd:import namespace="6033a234-c704-4e9b-9e67-19f260df118c"/>
    <xsd:element name="properties">
      <xsd:complexType>
        <xsd:sequence>
          <xsd:element name="documentManagement">
            <xsd:complexType>
              <xsd:all>
                <xsd:element ref="ns2:Comments" minOccurs="0"/>
                <xsd:element ref="ns2:ItemType" minOccurs="0"/>
                <xsd:element ref="ns3:_dlc_DocIdUrl" minOccurs="0"/>
                <xsd:element ref="ns2:Date"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2:MediaServiceSearchProperties" minOccurs="0"/>
                <xsd:element ref="ns3:_dlc_DocId" minOccurs="0"/>
                <xsd:element ref="ns3:SharedWithDetails" minOccurs="0"/>
                <xsd:element ref="ns3:_dlc_DocIdPersistId" minOccurs="0"/>
                <xsd:element ref="ns2:MediaServiceMetadata" minOccurs="0"/>
                <xsd:element ref="ns2:MediaServiceLocation" minOccurs="0"/>
                <xsd:element ref="ns2:_Flow_SignoffStatus" minOccurs="0"/>
                <xsd:element ref="ns2:Doc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2dee6-65f8-4694-a837-d32f984e5d86"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ItemType" ma:index="4" nillable="true" ma:displayName="Status" ma:format="Dropdown" ma:indexed="true" ma:internalName="ItemType" ma:readOnly="false">
      <xsd:simpleType>
        <xsd:restriction base="dms:Choice">
          <xsd:enumeration value="Final"/>
          <xsd:enumeration value="Draft"/>
        </xsd:restriction>
      </xsd:simpleType>
    </xsd:element>
    <xsd:element name="Date" ma:index="6" nillable="true" ma:displayName="Date" ma:format="DateOnly" ma:internalName="Date" ma:readOnly="false">
      <xsd:simpleType>
        <xsd:restriction base="dms:DateTim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element name="_Flow_SignoffStatus" ma:index="29" nillable="true" ma:displayName="Sign-off status" ma:internalName="_x0024_Resources_x003a_core_x002c_Signoff_Status">
      <xsd:simpleType>
        <xsd:restriction base="dms:Text"/>
      </xsd:simpleType>
    </xsd:element>
    <xsd:element name="DocNumber" ma:index="30" nillable="true" ma:displayName="Doc Number" ma:format="Dropdown" ma:internalName="Doc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3a234-c704-4e9b-9e67-19f260df118c" elementFormDefault="qualified">
    <xsd:import namespace="http://schemas.microsoft.com/office/2006/documentManagement/types"/>
    <xsd:import namespace="http://schemas.microsoft.com/office/infopath/2007/PartnerControls"/>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ec2ed41a-f401-4783-b373-2732fc859dfa}" ma:internalName="TaxCatchAll" ma:readOnly="false" ma:showField="CatchAllData" ma:web="6033a234-c704-4e9b-9e67-19f260df11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4" nillable="true" ma:displayName="Document ID Value" ma:description="The value of the document ID assigned to this item." ma:hidden="true" ma:indexed="true" ma:internalName="_dlc_DocId" ma:readOnly="true">
      <xsd:simpleType>
        <xsd:restriction base="dms:Text"/>
      </xsd:simpleType>
    </xsd:element>
    <xsd:element name="SharedWithDetails" ma:index="25" nillable="true" ma:displayName="Shared With Details" ma:description="" ma:hidden="true" ma:internalName="SharedWithDetails" ma:readOnly="true">
      <xsd:simpleType>
        <xsd:restriction base="dms:Note"/>
      </xsd:simple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6033a234-c704-4e9b-9e67-19f260df118c">
      <UserInfo>
        <DisplayName>Masson, Dave (NWS)</DisplayName>
        <AccountId>52</AccountId>
        <AccountType/>
      </UserInfo>
      <UserInfo>
        <DisplayName>Smith, Dave (NWS)</DisplayName>
        <AccountId>31</AccountId>
        <AccountType/>
      </UserInfo>
      <UserInfo>
        <DisplayName>David, Owen (NWS)</DisplayName>
        <AccountId>46</AccountId>
        <AccountType/>
      </UserInfo>
      <UserInfo>
        <DisplayName>Eldred, Chris (NWS)</DisplayName>
        <AccountId>36</AccountId>
        <AccountType/>
      </UserInfo>
      <UserInfo>
        <DisplayName>Batstone, Andrew (NWS)</DisplayName>
        <AccountId>10</AccountId>
        <AccountType/>
      </UserInfo>
    </SharedWithUsers>
    <_dlc_DocId xmlns="6033a234-c704-4e9b-9e67-19f260df118c">2026-2088683862-62713</_dlc_DocId>
    <_dlc_DocIdUrl xmlns="6033a234-c704-4e9b-9e67-19f260df118c">
      <Url>https://llwrsite0.sharepoint.com/sites/-RWMProgrammeManagementOffice/_layouts/15/DocIdRedir.aspx?ID=2026-2088683862-62713</Url>
      <Description>2026-2088683862-62713</Description>
    </_dlc_DocIdUrl>
    <_dlc_DocIdPersistId xmlns="6033a234-c704-4e9b-9e67-19f260df118c" xsi:nil="true"/>
    <Comments xmlns="4742dee6-65f8-4694-a837-d32f984e5d86" xsi:nil="true"/>
    <ItemType xmlns="4742dee6-65f8-4694-a837-d32f984e5d86" xsi:nil="true"/>
    <Date xmlns="4742dee6-65f8-4694-a837-d32f984e5d86" xsi:nil="true"/>
    <TaxCatchAll xmlns="6033a234-c704-4e9b-9e67-19f260df118c" xsi:nil="true"/>
    <lcf76f155ced4ddcb4097134ff3c332f xmlns="4742dee6-65f8-4694-a837-d32f984e5d86">
      <Terms xmlns="http://schemas.microsoft.com/office/infopath/2007/PartnerControls"/>
    </lcf76f155ced4ddcb4097134ff3c332f>
    <_Flow_SignoffStatus xmlns="4742dee6-65f8-4694-a837-d32f984e5d86" xsi:nil="true"/>
    <DocNumber xmlns="4742dee6-65f8-4694-a837-d32f984e5d86" xsi:nil="true"/>
  </documentManagement>
</p:properties>
</file>

<file path=customXml/itemProps1.xml><?xml version="1.0" encoding="utf-8"?>
<ds:datastoreItem xmlns:ds="http://schemas.openxmlformats.org/officeDocument/2006/customXml" ds:itemID="{36433AC7-4656-4352-AE82-3CF77F3B32E8}">
  <ds:schemaRefs>
    <ds:schemaRef ds:uri="http://schemas.microsoft.com/sharepoint/events"/>
  </ds:schemaRefs>
</ds:datastoreItem>
</file>

<file path=customXml/itemProps2.xml><?xml version="1.0" encoding="utf-8"?>
<ds:datastoreItem xmlns:ds="http://schemas.openxmlformats.org/officeDocument/2006/customXml" ds:itemID="{075DE933-C3AA-409E-8F76-8CB9901D3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2dee6-65f8-4694-a837-d32f984e5d86"/>
    <ds:schemaRef ds:uri="6033a234-c704-4e9b-9e67-19f260df1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C3534-C882-4641-AF25-DF1179627073}">
  <ds:schemaRefs>
    <ds:schemaRef ds:uri="http://schemas.openxmlformats.org/officeDocument/2006/bibliography"/>
  </ds:schemaRefs>
</ds:datastoreItem>
</file>

<file path=customXml/itemProps4.xml><?xml version="1.0" encoding="utf-8"?>
<ds:datastoreItem xmlns:ds="http://schemas.openxmlformats.org/officeDocument/2006/customXml" ds:itemID="{C9103821-367A-4603-8891-8B26262568ED}">
  <ds:schemaRefs>
    <ds:schemaRef ds:uri="http://schemas.microsoft.com/sharepoint/v3/contenttype/forms"/>
  </ds:schemaRefs>
</ds:datastoreItem>
</file>

<file path=customXml/itemProps5.xml><?xml version="1.0" encoding="utf-8"?>
<ds:datastoreItem xmlns:ds="http://schemas.openxmlformats.org/officeDocument/2006/customXml" ds:itemID="{B4AFD6D5-0210-4057-B679-63293E73B0FD}">
  <ds:schemaRefs>
    <ds:schemaRef ds:uri="http://schemas.microsoft.com/office/2006/metadata/properties"/>
    <ds:schemaRef ds:uri="http://schemas.microsoft.com/office/infopath/2007/PartnerControls"/>
    <ds:schemaRef ds:uri="6033a234-c704-4e9b-9e67-19f260df118c"/>
    <ds:schemaRef ds:uri="4742dee6-65f8-4694-a837-d32f984e5d86"/>
  </ds:schemaRefs>
</ds:datastoreItem>
</file>

<file path=docProps/app.xml><?xml version="1.0" encoding="utf-8"?>
<Properties xmlns="http://schemas.openxmlformats.org/officeDocument/2006/extended-properties" xmlns:vt="http://schemas.openxmlformats.org/officeDocument/2006/docPropsVTypes">
  <Template>NDA General Document Template</Template>
  <TotalTime>102</TotalTime>
  <Pages>26</Pages>
  <Words>6837</Words>
  <Characters>38972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45718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Nuclear Decommissioning Authority</dc:creator>
  <cp:keywords/>
  <dc:description/>
  <cp:lastModifiedBy>Batstone, Andrew (NWS)</cp:lastModifiedBy>
  <cp:revision>18</cp:revision>
  <cp:lastPrinted>1901-01-01T16:00:00Z</cp:lastPrinted>
  <dcterms:created xsi:type="dcterms:W3CDTF">2025-07-07T14:17:00Z</dcterms:created>
  <dcterms:modified xsi:type="dcterms:W3CDTF">2025-07-30T15:57:00Z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1cb63754-bba9-41b9-ac2f-694933b04be2</vt:lpwstr>
  </property>
  <property fmtid="{D5CDD505-2E9C-101B-9397-08002B2CF9AE}" pid="3" name="Offisync_ProviderInitializationData">
    <vt:lpwstr>https://ecosystem.org.uk</vt:lpwstr>
  </property>
  <property fmtid="{D5CDD505-2E9C-101B-9397-08002B2CF9AE}" pid="4" name="Jive_VersionGuid">
    <vt:lpwstr>88277669-bd41-46e4-803e-52f8bec01798</vt:lpwstr>
  </property>
  <property fmtid="{D5CDD505-2E9C-101B-9397-08002B2CF9AE}" pid="5" name="Offisync_UpdateToken">
    <vt:lpwstr>3</vt:lpwstr>
  </property>
  <property fmtid="{D5CDD505-2E9C-101B-9397-08002B2CF9AE}" pid="6" name="Jive_LatestUserAccountName">
    <vt:lpwstr>ian.wilson@nda.gov.uk</vt:lpwstr>
  </property>
  <property fmtid="{D5CDD505-2E9C-101B-9397-08002B2CF9AE}" pid="7" name="Offisync_UniqueId">
    <vt:lpwstr>69787</vt:lpwstr>
  </property>
  <property fmtid="{D5CDD505-2E9C-101B-9397-08002B2CF9AE}" pid="8" name="MSIP_Label_002fffcc-0b75-4fc5-9391-81f23a104fec_Enabled">
    <vt:lpwstr>true</vt:lpwstr>
  </property>
  <property fmtid="{D5CDD505-2E9C-101B-9397-08002B2CF9AE}" pid="9" name="MSIP_Label_002fffcc-0b75-4fc5-9391-81f23a104fec_SetDate">
    <vt:lpwstr>2021-12-07T08:22:04Z</vt:lpwstr>
  </property>
  <property fmtid="{D5CDD505-2E9C-101B-9397-08002B2CF9AE}" pid="10" name="MSIP_Label_002fffcc-0b75-4fc5-9391-81f23a104fec_Method">
    <vt:lpwstr>Privileged</vt:lpwstr>
  </property>
  <property fmtid="{D5CDD505-2E9C-101B-9397-08002B2CF9AE}" pid="11" name="MSIP_Label_002fffcc-0b75-4fc5-9391-81f23a104fec_Name">
    <vt:lpwstr>OFFICIAL (not marked)</vt:lpwstr>
  </property>
  <property fmtid="{D5CDD505-2E9C-101B-9397-08002B2CF9AE}" pid="12" name="MSIP_Label_002fffcc-0b75-4fc5-9391-81f23a104fec_SiteId">
    <vt:lpwstr>ee032e7f-73e4-457a-a0c4-cfbe17e33ceb</vt:lpwstr>
  </property>
  <property fmtid="{D5CDD505-2E9C-101B-9397-08002B2CF9AE}" pid="13" name="MSIP_Label_002fffcc-0b75-4fc5-9391-81f23a104fec_ActionId">
    <vt:lpwstr>27c11211-8df6-44ab-8663-6e08dfd7f4f5</vt:lpwstr>
  </property>
  <property fmtid="{D5CDD505-2E9C-101B-9397-08002B2CF9AE}" pid="14" name="MSIP_Label_002fffcc-0b75-4fc5-9391-81f23a104fec_ContentBits">
    <vt:lpwstr>0</vt:lpwstr>
  </property>
  <property fmtid="{D5CDD505-2E9C-101B-9397-08002B2CF9AE}" pid="15" name="ClassificationContentMarkingHeaderShapeIds">
    <vt:lpwstr>7,8,9</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y fmtid="{D5CDD505-2E9C-101B-9397-08002B2CF9AE}" pid="18" name="MSIP_Label_19cc7ebe-3455-450c-a5d2-14ba1adb1286_Enabled">
    <vt:lpwstr>true</vt:lpwstr>
  </property>
  <property fmtid="{D5CDD505-2E9C-101B-9397-08002B2CF9AE}" pid="19" name="MSIP_Label_19cc7ebe-3455-450c-a5d2-14ba1adb1286_SetDate">
    <vt:lpwstr>2023-09-13T13:48:09Z</vt:lpwstr>
  </property>
  <property fmtid="{D5CDD505-2E9C-101B-9397-08002B2CF9AE}" pid="20" name="MSIP_Label_19cc7ebe-3455-450c-a5d2-14ba1adb1286_Method">
    <vt:lpwstr>Privileged</vt:lpwstr>
  </property>
  <property fmtid="{D5CDD505-2E9C-101B-9397-08002B2CF9AE}" pid="21" name="MSIP_Label_19cc7ebe-3455-450c-a5d2-14ba1adb1286_Name">
    <vt:lpwstr>OFFICIAL-Marking</vt:lpwstr>
  </property>
  <property fmtid="{D5CDD505-2E9C-101B-9397-08002B2CF9AE}" pid="22" name="MSIP_Label_19cc7ebe-3455-450c-a5d2-14ba1adb1286_SiteId">
    <vt:lpwstr>1929b5b6-230e-4b2e-837a-b96f0a9b1b56</vt:lpwstr>
  </property>
  <property fmtid="{D5CDD505-2E9C-101B-9397-08002B2CF9AE}" pid="23" name="MSIP_Label_19cc7ebe-3455-450c-a5d2-14ba1adb1286_ActionId">
    <vt:lpwstr>0074748f-186e-48af-82d3-6aa28e8f27b7</vt:lpwstr>
  </property>
  <property fmtid="{D5CDD505-2E9C-101B-9397-08002B2CF9AE}" pid="24" name="MSIP_Label_19cc7ebe-3455-450c-a5d2-14ba1adb1286_ContentBits">
    <vt:lpwstr>1</vt:lpwstr>
  </property>
  <property fmtid="{D5CDD505-2E9C-101B-9397-08002B2CF9AE}" pid="25" name="ContentTypeId">
    <vt:lpwstr>0x01010029D9D4FCBE61CF478E2D7AD18532284C</vt:lpwstr>
  </property>
  <property fmtid="{D5CDD505-2E9C-101B-9397-08002B2CF9AE}" pid="26" name="_dlc_DocIdItemGuid">
    <vt:lpwstr>aeba3e35-553a-467b-9beb-01b078b0f5aa</vt:lpwstr>
  </property>
  <property fmtid="{D5CDD505-2E9C-101B-9397-08002B2CF9AE}" pid="27" name="MediaServiceImageTags">
    <vt:lpwstr/>
  </property>
</Properties>
</file>